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1BE7" w14:textId="77777777" w:rsidR="00D24E3D" w:rsidRPr="00FC1E5A" w:rsidRDefault="00A00692" w:rsidP="00A00692">
      <w:pPr>
        <w:jc w:val="left"/>
        <w:rPr>
          <w:rFonts w:cs="Arial"/>
          <w:lang w:val="en-GB"/>
        </w:rPr>
      </w:pPr>
      <w:r w:rsidRPr="00FC1E5A">
        <w:rPr>
          <w:rFonts w:cs="Arial"/>
          <w:noProof/>
          <w:color w:val="000080"/>
          <w:sz w:val="36"/>
          <w:szCs w:val="36"/>
          <w:lang w:val="nl-NL" w:eastAsia="nl-NL"/>
        </w:rPr>
        <w:drawing>
          <wp:inline distT="0" distB="0" distL="0" distR="0" wp14:anchorId="3ADF3CD4" wp14:editId="212D5D98">
            <wp:extent cx="2863273" cy="11685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a:fillRect/>
                    </a:stretch>
                  </pic:blipFill>
                  <pic:spPr>
                    <a:xfrm>
                      <a:off x="0" y="0"/>
                      <a:ext cx="2884686" cy="1177282"/>
                    </a:xfrm>
                    <a:prstGeom prst="rect">
                      <a:avLst/>
                    </a:prstGeom>
                  </pic:spPr>
                </pic:pic>
              </a:graphicData>
            </a:graphic>
          </wp:inline>
        </w:drawing>
      </w:r>
      <w:r w:rsidR="00C9726B" w:rsidRPr="00FC1E5A">
        <w:rPr>
          <w:rStyle w:val="berschrift1blau"/>
          <w:rFonts w:ascii="Arial" w:hAnsi="Arial" w:cs="Arial"/>
          <w:noProof/>
          <w:lang w:val="nl-NL" w:eastAsia="nl-NL"/>
        </w:rPr>
        <w:drawing>
          <wp:anchor distT="0" distB="0" distL="114300" distR="114300" simplePos="0" relativeHeight="251630080" behindDoc="1" locked="0" layoutInCell="1" allowOverlap="1" wp14:anchorId="646C5C1F" wp14:editId="2C16EB2D">
            <wp:simplePos x="0" y="0"/>
            <wp:positionH relativeFrom="page">
              <wp:posOffset>1191895</wp:posOffset>
            </wp:positionH>
            <wp:positionV relativeFrom="page">
              <wp:posOffset>5434330</wp:posOffset>
            </wp:positionV>
            <wp:extent cx="6092825" cy="524827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2825" cy="5248275"/>
                    </a:xfrm>
                    <a:prstGeom prst="rect">
                      <a:avLst/>
                    </a:prstGeom>
                    <a:noFill/>
                    <a:ln>
                      <a:noFill/>
                    </a:ln>
                  </pic:spPr>
                </pic:pic>
              </a:graphicData>
            </a:graphic>
          </wp:anchor>
        </w:drawing>
      </w:r>
    </w:p>
    <w:p w14:paraId="79E25B36" w14:textId="77777777" w:rsidR="0083582D" w:rsidRPr="00FC1E5A" w:rsidRDefault="0083582D" w:rsidP="001E762F">
      <w:pPr>
        <w:rPr>
          <w:rStyle w:val="berschrift1blau"/>
          <w:rFonts w:ascii="Arial" w:hAnsi="Arial" w:cs="Arial"/>
          <w:lang w:val="en-GB"/>
        </w:rPr>
      </w:pPr>
    </w:p>
    <w:p w14:paraId="7BD20ED7" w14:textId="77777777" w:rsidR="00720D97" w:rsidRPr="00FC1E5A" w:rsidRDefault="00720D97" w:rsidP="001E762F">
      <w:pPr>
        <w:rPr>
          <w:rFonts w:cs="Arial"/>
          <w:lang w:val="en-GB"/>
        </w:rPr>
      </w:pPr>
    </w:p>
    <w:p w14:paraId="4490416C" w14:textId="77777777" w:rsidR="00912A44" w:rsidRPr="00FC1E5A" w:rsidRDefault="003F5999" w:rsidP="00912A44">
      <w:pPr>
        <w:pStyle w:val="Untertitel"/>
        <w:rPr>
          <w:rFonts w:cs="Arial"/>
          <w:color w:val="1F497D" w:themeColor="text2"/>
          <w:sz w:val="40"/>
          <w:lang w:val="en-GB"/>
        </w:rPr>
      </w:pPr>
      <w:bookmarkStart w:id="0" w:name="_Toc48742440"/>
      <w:bookmarkStart w:id="1" w:name="_Toc48745565"/>
      <w:r w:rsidRPr="00FC1E5A">
        <w:rPr>
          <w:rFonts w:cs="Arial"/>
          <w:b/>
          <w:bCs/>
          <w:color w:val="1F497D" w:themeColor="text2"/>
          <w:sz w:val="40"/>
          <w:lang w:val="en-GB"/>
        </w:rPr>
        <w:t xml:space="preserve">Paris Alignment of Export Credit Agencies: the case of </w:t>
      </w:r>
      <w:r w:rsidR="00BA3907" w:rsidRPr="00FC1E5A">
        <w:rPr>
          <w:rFonts w:cs="Arial"/>
          <w:b/>
          <w:bCs/>
          <w:color w:val="1F497D" w:themeColor="text2"/>
          <w:sz w:val="40"/>
          <w:lang w:val="en-GB"/>
        </w:rPr>
        <w:t>Atradius Dutch State Business</w:t>
      </w:r>
      <w:r w:rsidRPr="00FC1E5A">
        <w:rPr>
          <w:rFonts w:cs="Arial"/>
          <w:b/>
          <w:bCs/>
          <w:color w:val="1F497D" w:themeColor="text2"/>
          <w:sz w:val="40"/>
          <w:lang w:val="en-GB"/>
        </w:rPr>
        <w:t xml:space="preserve"> (</w:t>
      </w:r>
      <w:r w:rsidR="00BA3907" w:rsidRPr="00FC1E5A">
        <w:rPr>
          <w:rFonts w:cs="Arial"/>
          <w:b/>
          <w:bCs/>
          <w:color w:val="1F497D" w:themeColor="text2"/>
          <w:sz w:val="40"/>
          <w:lang w:val="en-GB"/>
        </w:rPr>
        <w:t>Netherlands</w:t>
      </w:r>
      <w:r w:rsidRPr="00FC1E5A">
        <w:rPr>
          <w:rFonts w:cs="Arial"/>
          <w:b/>
          <w:bCs/>
          <w:color w:val="1F497D" w:themeColor="text2"/>
          <w:sz w:val="40"/>
          <w:lang w:val="en-GB"/>
        </w:rPr>
        <w:t>)</w:t>
      </w:r>
    </w:p>
    <w:bookmarkEnd w:id="0"/>
    <w:bookmarkEnd w:id="1"/>
    <w:p w14:paraId="6D2A94B0" w14:textId="77777777" w:rsidR="002E59FD" w:rsidRPr="00FC1E5A" w:rsidRDefault="002E59FD" w:rsidP="001E762F">
      <w:pPr>
        <w:rPr>
          <w:rFonts w:cs="Arial"/>
          <w:lang w:val="en-GB"/>
        </w:rPr>
      </w:pPr>
    </w:p>
    <w:p w14:paraId="15971695" w14:textId="77777777" w:rsidR="009911C5" w:rsidRPr="00FC1E5A" w:rsidRDefault="00017932" w:rsidP="001E762F">
      <w:pPr>
        <w:rPr>
          <w:rFonts w:cs="Arial"/>
          <w:lang w:val="en-GB"/>
        </w:rPr>
      </w:pPr>
      <w:r w:rsidRPr="00FC1E5A">
        <w:rPr>
          <w:rFonts w:cs="Arial"/>
          <w:lang w:val="en-GB"/>
        </w:rPr>
        <w:t xml:space="preserve">Philipp Censkowsky, </w:t>
      </w:r>
      <w:r w:rsidR="003F5999" w:rsidRPr="00FC1E5A">
        <w:rPr>
          <w:rFonts w:cs="Arial"/>
          <w:lang w:val="en-GB"/>
        </w:rPr>
        <w:t>Laila Darouich</w:t>
      </w:r>
      <w:r w:rsidR="003670E2" w:rsidRPr="00FC1E5A">
        <w:rPr>
          <w:rFonts w:cs="Arial"/>
          <w:lang w:val="en-GB"/>
        </w:rPr>
        <w:t>, Igor Shishlov</w:t>
      </w:r>
    </w:p>
    <w:p w14:paraId="604A024E" w14:textId="7454EF70" w:rsidR="00720D97" w:rsidRPr="00FC1E5A" w:rsidRDefault="0017091A" w:rsidP="001E762F">
      <w:pPr>
        <w:rPr>
          <w:rFonts w:cs="Arial"/>
          <w:lang w:val="en-GB"/>
        </w:rPr>
      </w:pPr>
      <w:r w:rsidRPr="00FC1E5A">
        <w:rPr>
          <w:rFonts w:cs="Arial"/>
          <w:lang w:val="en-GB"/>
        </w:rPr>
        <w:t>Freiburg</w:t>
      </w:r>
      <w:r w:rsidR="00C247E3" w:rsidRPr="00FC1E5A">
        <w:rPr>
          <w:rFonts w:cs="Arial"/>
          <w:lang w:val="en-GB"/>
        </w:rPr>
        <w:t xml:space="preserve">, </w:t>
      </w:r>
      <w:r w:rsidRPr="00FC1E5A">
        <w:rPr>
          <w:rFonts w:cs="Arial"/>
          <w:lang w:val="en-GB"/>
        </w:rPr>
        <w:t>Germany</w:t>
      </w:r>
      <w:r w:rsidR="00720D97" w:rsidRPr="00FC1E5A">
        <w:rPr>
          <w:rFonts w:cs="Arial"/>
          <w:lang w:val="en-GB"/>
        </w:rPr>
        <w:t xml:space="preserve">, </w:t>
      </w:r>
      <w:sdt>
        <w:sdtPr>
          <w:rPr>
            <w:rFonts w:cs="Arial"/>
            <w:lang w:val="en-GB"/>
          </w:rPr>
          <w:alias w:val="Publish Date"/>
          <w:tag w:val=""/>
          <w:id w:val="-438911429"/>
          <w:placeholder>
            <w:docPart w:val="158145997D0F463E8F776BA2F4284C69"/>
          </w:placeholder>
          <w:dataBinding w:prefixMappings="xmlns:ns0='http://schemas.microsoft.com/office/2006/coverPageProps' " w:xpath="/ns0:CoverPageProperties[1]/ns0:PublishDate[1]" w:storeItemID="{55AF091B-3C7A-41E3-B477-F2FDAA23CFDA}"/>
          <w:date w:fullDate="2021-10-15T00:00:00Z">
            <w:dateFormat w:val="dd.MM.yyyy"/>
            <w:lid w:val="de-DE"/>
            <w:storeMappedDataAs w:val="dateTime"/>
            <w:calendar w:val="gregorian"/>
          </w:date>
        </w:sdtPr>
        <w:sdtEndPr/>
        <w:sdtContent>
          <w:r w:rsidR="00991BBD">
            <w:rPr>
              <w:rFonts w:cs="Arial"/>
              <w:lang w:val="en-GB"/>
            </w:rPr>
            <w:t>15</w:t>
          </w:r>
          <w:r w:rsidR="00991BBD" w:rsidRPr="00AB310B">
            <w:rPr>
              <w:rFonts w:cs="Arial"/>
              <w:lang w:val="en-GB"/>
            </w:rPr>
            <w:t>.</w:t>
          </w:r>
          <w:r w:rsidR="00991BBD">
            <w:rPr>
              <w:rFonts w:cs="Arial"/>
              <w:lang w:val="en-GB"/>
            </w:rPr>
            <w:t>10.2</w:t>
          </w:r>
          <w:r w:rsidR="00991BBD" w:rsidRPr="00AB310B">
            <w:rPr>
              <w:rFonts w:cs="Arial"/>
              <w:lang w:val="en-GB"/>
            </w:rPr>
            <w:t>021</w:t>
          </w:r>
        </w:sdtContent>
      </w:sdt>
    </w:p>
    <w:p w14:paraId="124762AD" w14:textId="77777777" w:rsidR="00E802D9" w:rsidRPr="00FC1E5A" w:rsidRDefault="00E802D9" w:rsidP="001E762F">
      <w:pPr>
        <w:rPr>
          <w:rFonts w:cs="Arial"/>
          <w:lang w:val="en-GB"/>
        </w:rPr>
      </w:pPr>
    </w:p>
    <w:p w14:paraId="57A12F62" w14:textId="77777777" w:rsidR="00E802D9" w:rsidRPr="00FC1E5A" w:rsidRDefault="00E802D9" w:rsidP="001E762F">
      <w:pPr>
        <w:rPr>
          <w:rFonts w:cs="Arial"/>
          <w:lang w:val="en-GB"/>
        </w:rPr>
      </w:pPr>
    </w:p>
    <w:p w14:paraId="5DA3A6B4" w14:textId="77777777" w:rsidR="00E802D9" w:rsidRPr="00FC1E5A" w:rsidRDefault="00E802D9" w:rsidP="001E762F">
      <w:pPr>
        <w:rPr>
          <w:rFonts w:cs="Arial"/>
          <w:lang w:val="en-GB"/>
        </w:rPr>
      </w:pPr>
    </w:p>
    <w:p w14:paraId="6A3F3B01" w14:textId="77777777" w:rsidR="00E802D9" w:rsidRPr="00FC1E5A" w:rsidRDefault="00E802D9" w:rsidP="001E762F">
      <w:pPr>
        <w:rPr>
          <w:rFonts w:cs="Arial"/>
          <w:lang w:val="en-GB"/>
        </w:rPr>
      </w:pPr>
    </w:p>
    <w:p w14:paraId="16C7799F" w14:textId="77777777" w:rsidR="00E802D9" w:rsidRPr="00FC1E5A" w:rsidRDefault="00E802D9" w:rsidP="001E762F">
      <w:pPr>
        <w:rPr>
          <w:rFonts w:cs="Arial"/>
          <w:lang w:val="en-GB"/>
        </w:rPr>
      </w:pPr>
    </w:p>
    <w:p w14:paraId="7D917D95" w14:textId="77777777" w:rsidR="00720D97" w:rsidRPr="00FC1E5A" w:rsidRDefault="006D2451" w:rsidP="001E762F">
      <w:pPr>
        <w:rPr>
          <w:rFonts w:cs="Arial"/>
          <w:lang w:val="en-GB"/>
        </w:rPr>
        <w:sectPr w:rsidR="00720D97" w:rsidRPr="00FC1E5A" w:rsidSect="0059083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098" w:right="1508" w:bottom="1276" w:left="1418" w:header="567" w:footer="851" w:gutter="0"/>
          <w:cols w:space="709"/>
          <w:noEndnote/>
          <w:docGrid w:linePitch="360"/>
        </w:sectPr>
      </w:pPr>
      <w:r w:rsidRPr="00FC1E5A">
        <w:rPr>
          <w:rFonts w:cs="Arial"/>
          <w:noProof/>
          <w:lang w:val="nl-NL" w:eastAsia="nl-NL"/>
        </w:rPr>
        <mc:AlternateContent>
          <mc:Choice Requires="wps">
            <w:drawing>
              <wp:anchor distT="0" distB="0" distL="114300" distR="114300" simplePos="0" relativeHeight="251677184" behindDoc="0" locked="0" layoutInCell="1" allowOverlap="1" wp14:anchorId="0648F5FE" wp14:editId="3811C02E">
                <wp:simplePos x="0" y="0"/>
                <wp:positionH relativeFrom="column">
                  <wp:posOffset>4494530</wp:posOffset>
                </wp:positionH>
                <wp:positionV relativeFrom="page">
                  <wp:posOffset>9265920</wp:posOffset>
                </wp:positionV>
                <wp:extent cx="1925955" cy="14992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49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4E96C" w14:textId="77777777" w:rsidR="009A1BEA" w:rsidRPr="00A00692" w:rsidRDefault="009A1BEA" w:rsidP="0017091A">
                            <w:pPr>
                              <w:spacing w:after="60" w:line="240" w:lineRule="auto"/>
                              <w:rPr>
                                <w:rFonts w:ascii="Trebuchet MS" w:hAnsi="Trebuchet MS" w:cs="Trebuchet MS"/>
                                <w:b/>
                                <w:bCs/>
                                <w:color w:val="FFFFFF" w:themeColor="background1"/>
                                <w:sz w:val="22"/>
                                <w:szCs w:val="22"/>
                              </w:rPr>
                            </w:pPr>
                            <w:r w:rsidRPr="00A00692">
                              <w:rPr>
                                <w:rFonts w:ascii="Trebuchet MS" w:hAnsi="Trebuchet MS" w:cs="Trebuchet MS"/>
                                <w:b/>
                                <w:bCs/>
                                <w:color w:val="FFFFFF" w:themeColor="background1"/>
                                <w:sz w:val="22"/>
                                <w:szCs w:val="22"/>
                              </w:rPr>
                              <w:t xml:space="preserve">Perspectives </w:t>
                            </w:r>
                          </w:p>
                          <w:p w14:paraId="2B5B90DA" w14:textId="77777777" w:rsidR="009A1BEA" w:rsidRPr="00A00692" w:rsidRDefault="009A1BEA" w:rsidP="0017091A">
                            <w:pPr>
                              <w:spacing w:after="60" w:line="240" w:lineRule="auto"/>
                              <w:rPr>
                                <w:rFonts w:cs="Arial"/>
                                <w:color w:val="FFFFFF" w:themeColor="background1"/>
                                <w:sz w:val="18"/>
                                <w:szCs w:val="18"/>
                              </w:rPr>
                            </w:pPr>
                            <w:r w:rsidRPr="00A00692">
                              <w:rPr>
                                <w:rFonts w:cs="Arial"/>
                                <w:color w:val="FFFFFF" w:themeColor="background1"/>
                                <w:sz w:val="18"/>
                                <w:szCs w:val="18"/>
                              </w:rPr>
                              <w:t>Climate Research</w:t>
                            </w:r>
                          </w:p>
                          <w:p w14:paraId="72D0D302" w14:textId="77777777" w:rsidR="009A1BEA" w:rsidRPr="00A00692" w:rsidRDefault="009A1BEA" w:rsidP="0017091A">
                            <w:pPr>
                              <w:spacing w:after="60" w:line="240" w:lineRule="auto"/>
                              <w:rPr>
                                <w:rFonts w:cs="Arial"/>
                                <w:color w:val="FFFFFF" w:themeColor="background1"/>
                                <w:sz w:val="18"/>
                                <w:szCs w:val="18"/>
                              </w:rPr>
                            </w:pPr>
                            <w:proofErr w:type="spellStart"/>
                            <w:r w:rsidRPr="00A00692">
                              <w:rPr>
                                <w:rFonts w:cs="Arial"/>
                                <w:color w:val="FFFFFF" w:themeColor="background1"/>
                                <w:sz w:val="18"/>
                                <w:szCs w:val="18"/>
                              </w:rPr>
                              <w:t>Hugstetter</w:t>
                            </w:r>
                            <w:proofErr w:type="spellEnd"/>
                            <w:r w:rsidRPr="00A00692">
                              <w:rPr>
                                <w:rFonts w:cs="Arial"/>
                                <w:color w:val="FFFFFF" w:themeColor="background1"/>
                                <w:sz w:val="18"/>
                                <w:szCs w:val="18"/>
                              </w:rPr>
                              <w:t xml:space="preserve"> Str. 7</w:t>
                            </w:r>
                          </w:p>
                          <w:p w14:paraId="503BEF6F" w14:textId="77777777" w:rsidR="009A1BEA" w:rsidRPr="00812195" w:rsidRDefault="009A1BEA" w:rsidP="0017091A">
                            <w:pPr>
                              <w:spacing w:after="60" w:line="240" w:lineRule="auto"/>
                              <w:rPr>
                                <w:rFonts w:cs="Arial"/>
                                <w:color w:val="FFFFFF" w:themeColor="background1"/>
                                <w:sz w:val="18"/>
                                <w:szCs w:val="18"/>
                                <w:lang w:val="de-DE"/>
                              </w:rPr>
                            </w:pPr>
                            <w:r w:rsidRPr="00812195">
                              <w:rPr>
                                <w:rFonts w:cs="Arial"/>
                                <w:color w:val="FFFFFF" w:themeColor="background1"/>
                                <w:sz w:val="18"/>
                                <w:szCs w:val="18"/>
                                <w:lang w:val="de-DE"/>
                              </w:rPr>
                              <w:t>79106 Freiburg, Germany</w:t>
                            </w:r>
                          </w:p>
                          <w:p w14:paraId="265D4AF8" w14:textId="77777777" w:rsidR="009A1BEA" w:rsidRPr="00812195" w:rsidRDefault="009A1BEA" w:rsidP="006D2451">
                            <w:pPr>
                              <w:spacing w:after="60" w:line="240" w:lineRule="auto"/>
                              <w:rPr>
                                <w:rFonts w:cs="Arial"/>
                                <w:color w:val="FFFFFF" w:themeColor="background1"/>
                                <w:sz w:val="18"/>
                                <w:szCs w:val="18"/>
                                <w:lang w:val="de-DE"/>
                              </w:rPr>
                            </w:pPr>
                            <w:r w:rsidRPr="00812195">
                              <w:rPr>
                                <w:rFonts w:cs="Arial"/>
                                <w:color w:val="FFFFFF" w:themeColor="background1"/>
                                <w:sz w:val="18"/>
                                <w:szCs w:val="18"/>
                                <w:lang w:val="de-DE"/>
                              </w:rPr>
                              <w:t xml:space="preserve">info@perspectives.cc </w:t>
                            </w:r>
                          </w:p>
                          <w:p w14:paraId="6411D72C" w14:textId="77777777" w:rsidR="009A1BEA" w:rsidRPr="00812195" w:rsidRDefault="009A1BEA" w:rsidP="006D2451">
                            <w:pPr>
                              <w:spacing w:after="60" w:line="240" w:lineRule="auto"/>
                              <w:rPr>
                                <w:color w:val="FFFFFF" w:themeColor="background1"/>
                                <w:lang w:val="de-DE"/>
                              </w:rPr>
                            </w:pPr>
                            <w:r w:rsidRPr="00812195">
                              <w:rPr>
                                <w:color w:val="FFFFFF" w:themeColor="background1"/>
                                <w:sz w:val="18"/>
                                <w:szCs w:val="18"/>
                                <w:lang w:val="de-DE"/>
                              </w:rPr>
                              <w:t>www.perspectives.cc</w:t>
                            </w:r>
                          </w:p>
                          <w:p w14:paraId="1B788CFA" w14:textId="77777777" w:rsidR="009A1BEA" w:rsidRPr="00812195" w:rsidRDefault="009A1BEA" w:rsidP="006D2451">
                            <w:pPr>
                              <w:rPr>
                                <w:color w:val="FFFFFF" w:themeColor="background1"/>
                                <w:lang w:val="de-D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48F5FE" id="_x0000_t202" coordsize="21600,21600" o:spt="202" path="m,l,21600r21600,l21600,xe">
                <v:stroke joinstyle="miter"/>
                <v:path gradientshapeok="t" o:connecttype="rect"/>
              </v:shapetype>
              <v:shape id="Text Box 8" o:spid="_x0000_s1026" type="#_x0000_t202" style="position:absolute;left:0;text-align:left;margin-left:353.9pt;margin-top:729.6pt;width:151.65pt;height:118.0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" filled="f" stroked="f">
                <v:textbox style="mso-fit-shape-to-text:t">
                  <w:txbxContent>
                    <w:p w14:paraId="2564E96C" w14:textId="77777777" w:rsidR="009A1BEA" w:rsidRPr="00A00692" w:rsidRDefault="009A1BEA" w:rsidP="0017091A">
                      <w:pPr>
                        <w:spacing w:after="60" w:line="240" w:lineRule="auto"/>
                        <w:rPr>
                          <w:rFonts w:ascii="Trebuchet MS" w:hAnsi="Trebuchet MS" w:cs="Trebuchet MS"/>
                          <w:b/>
                          <w:bCs/>
                          <w:color w:val="FFFFFF" w:themeColor="background1"/>
                          <w:sz w:val="22"/>
                          <w:szCs w:val="22"/>
                        </w:rPr>
                      </w:pPr>
                      <w:r w:rsidRPr="00A00692">
                        <w:rPr>
                          <w:rFonts w:ascii="Trebuchet MS" w:hAnsi="Trebuchet MS" w:cs="Trebuchet MS"/>
                          <w:b/>
                          <w:bCs/>
                          <w:color w:val="FFFFFF" w:themeColor="background1"/>
                          <w:sz w:val="22"/>
                          <w:szCs w:val="22"/>
                        </w:rPr>
                        <w:t xml:space="preserve">Perspectives </w:t>
                      </w:r>
                    </w:p>
                    <w:p w14:paraId="2B5B90DA" w14:textId="77777777" w:rsidR="009A1BEA" w:rsidRPr="00A00692" w:rsidRDefault="009A1BEA" w:rsidP="0017091A">
                      <w:pPr>
                        <w:spacing w:after="60" w:line="240" w:lineRule="auto"/>
                        <w:rPr>
                          <w:rFonts w:cs="Arial"/>
                          <w:color w:val="FFFFFF" w:themeColor="background1"/>
                          <w:sz w:val="18"/>
                          <w:szCs w:val="18"/>
                        </w:rPr>
                      </w:pPr>
                      <w:r w:rsidRPr="00A00692">
                        <w:rPr>
                          <w:rFonts w:cs="Arial"/>
                          <w:color w:val="FFFFFF" w:themeColor="background1"/>
                          <w:sz w:val="18"/>
                          <w:szCs w:val="18"/>
                        </w:rPr>
                        <w:t>Climate Research</w:t>
                      </w:r>
                    </w:p>
                    <w:p w14:paraId="72D0D302" w14:textId="77777777" w:rsidR="009A1BEA" w:rsidRPr="00A00692" w:rsidRDefault="009A1BEA" w:rsidP="0017091A">
                      <w:pPr>
                        <w:spacing w:after="60" w:line="240" w:lineRule="auto"/>
                        <w:rPr>
                          <w:rFonts w:cs="Arial"/>
                          <w:color w:val="FFFFFF" w:themeColor="background1"/>
                          <w:sz w:val="18"/>
                          <w:szCs w:val="18"/>
                        </w:rPr>
                      </w:pPr>
                      <w:proofErr w:type="spellStart"/>
                      <w:r w:rsidRPr="00A00692">
                        <w:rPr>
                          <w:rFonts w:cs="Arial"/>
                          <w:color w:val="FFFFFF" w:themeColor="background1"/>
                          <w:sz w:val="18"/>
                          <w:szCs w:val="18"/>
                        </w:rPr>
                        <w:t>Hugstetter</w:t>
                      </w:r>
                      <w:proofErr w:type="spellEnd"/>
                      <w:r w:rsidRPr="00A00692">
                        <w:rPr>
                          <w:rFonts w:cs="Arial"/>
                          <w:color w:val="FFFFFF" w:themeColor="background1"/>
                          <w:sz w:val="18"/>
                          <w:szCs w:val="18"/>
                        </w:rPr>
                        <w:t xml:space="preserve"> Str. 7</w:t>
                      </w:r>
                    </w:p>
                    <w:p w14:paraId="503BEF6F" w14:textId="77777777" w:rsidR="009A1BEA" w:rsidRPr="00812195" w:rsidRDefault="009A1BEA" w:rsidP="0017091A">
                      <w:pPr>
                        <w:spacing w:after="60" w:line="240" w:lineRule="auto"/>
                        <w:rPr>
                          <w:rFonts w:cs="Arial"/>
                          <w:color w:val="FFFFFF" w:themeColor="background1"/>
                          <w:sz w:val="18"/>
                          <w:szCs w:val="18"/>
                          <w:lang w:val="de-DE"/>
                        </w:rPr>
                      </w:pPr>
                      <w:r w:rsidRPr="00812195">
                        <w:rPr>
                          <w:rFonts w:cs="Arial"/>
                          <w:color w:val="FFFFFF" w:themeColor="background1"/>
                          <w:sz w:val="18"/>
                          <w:szCs w:val="18"/>
                          <w:lang w:val="de-DE"/>
                        </w:rPr>
                        <w:t>79106 Freiburg, Germany</w:t>
                      </w:r>
                    </w:p>
                    <w:p w14:paraId="265D4AF8" w14:textId="77777777" w:rsidR="009A1BEA" w:rsidRPr="00812195" w:rsidRDefault="009A1BEA" w:rsidP="006D2451">
                      <w:pPr>
                        <w:spacing w:after="60" w:line="240" w:lineRule="auto"/>
                        <w:rPr>
                          <w:rFonts w:cs="Arial"/>
                          <w:color w:val="FFFFFF" w:themeColor="background1"/>
                          <w:sz w:val="18"/>
                          <w:szCs w:val="18"/>
                          <w:lang w:val="de-DE"/>
                        </w:rPr>
                      </w:pPr>
                      <w:r w:rsidRPr="00812195">
                        <w:rPr>
                          <w:rFonts w:cs="Arial"/>
                          <w:color w:val="FFFFFF" w:themeColor="background1"/>
                          <w:sz w:val="18"/>
                          <w:szCs w:val="18"/>
                          <w:lang w:val="de-DE"/>
                        </w:rPr>
                        <w:t xml:space="preserve">info@perspectives.cc </w:t>
                      </w:r>
                    </w:p>
                    <w:p w14:paraId="6411D72C" w14:textId="77777777" w:rsidR="009A1BEA" w:rsidRPr="00812195" w:rsidRDefault="009A1BEA" w:rsidP="006D2451">
                      <w:pPr>
                        <w:spacing w:after="60" w:line="240" w:lineRule="auto"/>
                        <w:rPr>
                          <w:color w:val="FFFFFF" w:themeColor="background1"/>
                          <w:lang w:val="de-DE"/>
                        </w:rPr>
                      </w:pPr>
                      <w:r w:rsidRPr="00812195">
                        <w:rPr>
                          <w:color w:val="FFFFFF" w:themeColor="background1"/>
                          <w:sz w:val="18"/>
                          <w:szCs w:val="18"/>
                          <w:lang w:val="de-DE"/>
                        </w:rPr>
                        <w:t>www.perspectives.cc</w:t>
                      </w:r>
                    </w:p>
                    <w:p w14:paraId="1B788CFA" w14:textId="77777777" w:rsidR="009A1BEA" w:rsidRPr="00812195" w:rsidRDefault="009A1BEA" w:rsidP="006D2451">
                      <w:pPr>
                        <w:rPr>
                          <w:color w:val="FFFFFF" w:themeColor="background1"/>
                          <w:lang w:val="de-DE"/>
                        </w:rPr>
                      </w:pPr>
                    </w:p>
                  </w:txbxContent>
                </v:textbox>
                <w10:wrap anchory="page"/>
              </v:shape>
            </w:pict>
          </mc:Fallback>
        </mc:AlternateContent>
      </w:r>
      <w:r w:rsidR="00C537C5" w:rsidRPr="00FC1E5A">
        <w:rPr>
          <w:rFonts w:cs="Arial"/>
          <w:noProof/>
          <w:lang w:val="nl-NL" w:eastAsia="nl-NL"/>
        </w:rPr>
        <mc:AlternateContent>
          <mc:Choice Requires="wps">
            <w:drawing>
              <wp:anchor distT="0" distB="0" distL="114300" distR="114300" simplePos="0" relativeHeight="251665920" behindDoc="0" locked="0" layoutInCell="1" allowOverlap="1" wp14:anchorId="1C067350" wp14:editId="3E828C4B">
                <wp:simplePos x="0" y="0"/>
                <wp:positionH relativeFrom="column">
                  <wp:posOffset>4387215</wp:posOffset>
                </wp:positionH>
                <wp:positionV relativeFrom="paragraph">
                  <wp:posOffset>7954645</wp:posOffset>
                </wp:positionV>
                <wp:extent cx="1925955" cy="2610485"/>
                <wp:effectExtent l="0" t="0" r="0" b="5715"/>
                <wp:wrapNone/>
                <wp:docPr id="11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261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B952" w14:textId="77777777" w:rsidR="009A1BEA" w:rsidRPr="008C0C7F" w:rsidRDefault="009A1BEA" w:rsidP="001E762F">
                            <w:pPr>
                              <w:rPr>
                                <w:lang w:val="fr-FR"/>
                              </w:rPr>
                            </w:pPr>
                            <w:r w:rsidRPr="008C0C7F">
                              <w:rPr>
                                <w:lang w:val="fr-FR"/>
                              </w:rPr>
                              <w:t xml:space="preserve">perspectives </w:t>
                            </w:r>
                            <w:proofErr w:type="spellStart"/>
                            <w:r w:rsidRPr="008C0C7F">
                              <w:rPr>
                                <w:lang w:val="fr-FR"/>
                              </w:rPr>
                              <w:t>GmbH</w:t>
                            </w:r>
                            <w:proofErr w:type="spellEnd"/>
                          </w:p>
                          <w:p w14:paraId="0A0E7435" w14:textId="77777777" w:rsidR="009A1BEA" w:rsidRPr="008C0C7F" w:rsidRDefault="009A1BEA" w:rsidP="001E762F">
                            <w:pPr>
                              <w:rPr>
                                <w:lang w:val="fr-FR"/>
                              </w:rPr>
                            </w:pPr>
                            <w:r w:rsidRPr="008C0C7F">
                              <w:rPr>
                                <w:lang w:val="fr-FR"/>
                              </w:rPr>
                              <w:t>Zurich Office</w:t>
                            </w:r>
                          </w:p>
                          <w:p w14:paraId="678CBAA4" w14:textId="77777777" w:rsidR="009A1BEA" w:rsidRPr="00C9726B" w:rsidRDefault="009A1BEA" w:rsidP="001E762F">
                            <w:pPr>
                              <w:rPr>
                                <w:lang w:val="nb-NO"/>
                              </w:rPr>
                            </w:pPr>
                            <w:r>
                              <w:rPr>
                                <w:lang w:val="nb-NO"/>
                              </w:rPr>
                              <w:t>Klosbachstrasse 103</w:t>
                            </w:r>
                          </w:p>
                          <w:p w14:paraId="1CE117EC" w14:textId="77777777" w:rsidR="009A1BEA" w:rsidRPr="00C9726B" w:rsidRDefault="009A1BEA" w:rsidP="001E762F">
                            <w:pPr>
                              <w:rPr>
                                <w:lang w:val="nb-NO"/>
                              </w:rPr>
                            </w:pPr>
                            <w:r>
                              <w:rPr>
                                <w:lang w:val="nb-NO"/>
                              </w:rPr>
                              <w:t>8032 Zurich, Switzerland</w:t>
                            </w:r>
                          </w:p>
                          <w:p w14:paraId="025F7342" w14:textId="77777777" w:rsidR="009A1BEA" w:rsidRPr="00C9726B" w:rsidRDefault="009A1BEA" w:rsidP="001E762F">
                            <w:pPr>
                              <w:rPr>
                                <w:lang w:val="nb-NO"/>
                              </w:rPr>
                            </w:pPr>
                            <w:r w:rsidRPr="00C9726B">
                              <w:rPr>
                                <w:lang w:val="nb-NO"/>
                              </w:rPr>
                              <w:t xml:space="preserve">info@perspectives.cc </w:t>
                            </w:r>
                          </w:p>
                          <w:p w14:paraId="22D55922" w14:textId="77777777" w:rsidR="009A1BEA" w:rsidRPr="00627118" w:rsidRDefault="009A1BEA" w:rsidP="001E762F">
                            <w:pPr>
                              <w:rPr>
                                <w:lang w:val="nb-NO"/>
                              </w:rPr>
                            </w:pPr>
                            <w:r w:rsidRPr="00627118">
                              <w:rPr>
                                <w:lang w:val="nb-NO"/>
                              </w:rPr>
                              <w:t>www.perspectives.cc</w:t>
                            </w:r>
                          </w:p>
                          <w:p w14:paraId="6DC942FF" w14:textId="77777777" w:rsidR="009A1BEA" w:rsidRPr="00627118" w:rsidRDefault="009A1BEA" w:rsidP="001E762F">
                            <w:pPr>
                              <w:rPr>
                                <w:lang w:val="nb-NO"/>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067350" id="_x0000_s1027" type="#_x0000_t202" style="position:absolute;left:0;text-align:left;margin-left:345.45pt;margin-top:626.35pt;width:151.65pt;height:205.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" filled="f" stroked="f">
                <v:textbox style="mso-fit-shape-to-text:t">
                  <w:txbxContent>
                    <w:p w14:paraId="746CB952" w14:textId="77777777" w:rsidR="009A1BEA" w:rsidRPr="008C0C7F" w:rsidRDefault="009A1BEA" w:rsidP="001E762F">
                      <w:pPr>
                        <w:rPr>
                          <w:lang w:val="fr-FR"/>
                        </w:rPr>
                      </w:pPr>
                      <w:r w:rsidRPr="008C0C7F">
                        <w:rPr>
                          <w:lang w:val="fr-FR"/>
                        </w:rPr>
                        <w:t xml:space="preserve">perspectives </w:t>
                      </w:r>
                      <w:proofErr w:type="spellStart"/>
                      <w:r w:rsidRPr="008C0C7F">
                        <w:rPr>
                          <w:lang w:val="fr-FR"/>
                        </w:rPr>
                        <w:t>GmbH</w:t>
                      </w:r>
                      <w:proofErr w:type="spellEnd"/>
                    </w:p>
                    <w:p w14:paraId="0A0E7435" w14:textId="77777777" w:rsidR="009A1BEA" w:rsidRPr="008C0C7F" w:rsidRDefault="009A1BEA" w:rsidP="001E762F">
                      <w:pPr>
                        <w:rPr>
                          <w:lang w:val="fr-FR"/>
                        </w:rPr>
                      </w:pPr>
                      <w:r w:rsidRPr="008C0C7F">
                        <w:rPr>
                          <w:lang w:val="fr-FR"/>
                        </w:rPr>
                        <w:t>Zurich Office</w:t>
                      </w:r>
                    </w:p>
                    <w:p w14:paraId="678CBAA4" w14:textId="77777777" w:rsidR="009A1BEA" w:rsidRPr="00C9726B" w:rsidRDefault="009A1BEA" w:rsidP="001E762F">
                      <w:pPr>
                        <w:rPr>
                          <w:lang w:val="nb-NO"/>
                        </w:rPr>
                      </w:pPr>
                      <w:r>
                        <w:rPr>
                          <w:lang w:val="nb-NO"/>
                        </w:rPr>
                        <w:t>Klosbachstrasse 103</w:t>
                      </w:r>
                    </w:p>
                    <w:p w14:paraId="1CE117EC" w14:textId="77777777" w:rsidR="009A1BEA" w:rsidRPr="00C9726B" w:rsidRDefault="009A1BEA" w:rsidP="001E762F">
                      <w:pPr>
                        <w:rPr>
                          <w:lang w:val="nb-NO"/>
                        </w:rPr>
                      </w:pPr>
                      <w:r>
                        <w:rPr>
                          <w:lang w:val="nb-NO"/>
                        </w:rPr>
                        <w:t>8032 Zurich, Switzerland</w:t>
                      </w:r>
                    </w:p>
                    <w:p w14:paraId="025F7342" w14:textId="77777777" w:rsidR="009A1BEA" w:rsidRPr="00C9726B" w:rsidRDefault="009A1BEA" w:rsidP="001E762F">
                      <w:pPr>
                        <w:rPr>
                          <w:lang w:val="nb-NO"/>
                        </w:rPr>
                      </w:pPr>
                      <w:r w:rsidRPr="00C9726B">
                        <w:rPr>
                          <w:lang w:val="nb-NO"/>
                        </w:rPr>
                        <w:t xml:space="preserve">info@perspectives.cc </w:t>
                      </w:r>
                    </w:p>
                    <w:p w14:paraId="22D55922" w14:textId="77777777" w:rsidR="009A1BEA" w:rsidRPr="00627118" w:rsidRDefault="009A1BEA" w:rsidP="001E762F">
                      <w:pPr>
                        <w:rPr>
                          <w:lang w:val="nb-NO"/>
                        </w:rPr>
                      </w:pPr>
                      <w:r w:rsidRPr="00627118">
                        <w:rPr>
                          <w:lang w:val="nb-NO"/>
                        </w:rPr>
                        <w:t>www.perspectives.cc</w:t>
                      </w:r>
                    </w:p>
                    <w:p w14:paraId="6DC942FF" w14:textId="77777777" w:rsidR="009A1BEA" w:rsidRPr="00627118" w:rsidRDefault="009A1BEA" w:rsidP="001E762F">
                      <w:pPr>
                        <w:rPr>
                          <w:lang w:val="nb-NO"/>
                        </w:rPr>
                      </w:pPr>
                    </w:p>
                  </w:txbxContent>
                </v:textbox>
              </v:shape>
            </w:pict>
          </mc:Fallback>
        </mc:AlternateContent>
      </w:r>
      <w:r w:rsidR="00C537C5" w:rsidRPr="00FC1E5A">
        <w:rPr>
          <w:rFonts w:cs="Arial"/>
          <w:noProof/>
          <w:lang w:val="nl-NL" w:eastAsia="nl-NL"/>
        </w:rPr>
        <mc:AlternateContent>
          <mc:Choice Requires="wps">
            <w:drawing>
              <wp:anchor distT="0" distB="0" distL="114300" distR="114300" simplePos="0" relativeHeight="251654656" behindDoc="0" locked="0" layoutInCell="1" allowOverlap="1" wp14:anchorId="314CF6FC" wp14:editId="70ABDDF0">
                <wp:simplePos x="0" y="0"/>
                <wp:positionH relativeFrom="column">
                  <wp:posOffset>5331460</wp:posOffset>
                </wp:positionH>
                <wp:positionV relativeFrom="paragraph">
                  <wp:posOffset>9289415</wp:posOffset>
                </wp:positionV>
                <wp:extent cx="1925955" cy="2610485"/>
                <wp:effectExtent l="0" t="0" r="0" b="5715"/>
                <wp:wrapNone/>
                <wp:docPr id="11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261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6EDD8" w14:textId="77777777" w:rsidR="009A1BEA" w:rsidRPr="00C71BDD" w:rsidRDefault="009A1BEA" w:rsidP="001E762F">
                            <w:r w:rsidRPr="00C71BDD">
                              <w:t>perspectives GmbH</w:t>
                            </w:r>
                          </w:p>
                          <w:p w14:paraId="39DF3882" w14:textId="77777777" w:rsidR="009A1BEA" w:rsidRPr="00C71BDD" w:rsidRDefault="009A1BEA" w:rsidP="001E762F">
                            <w:r w:rsidRPr="00C71BDD">
                              <w:t>Hamburg Office</w:t>
                            </w:r>
                          </w:p>
                          <w:p w14:paraId="4387A02E" w14:textId="77777777" w:rsidR="009A1BEA" w:rsidRPr="00C71BDD" w:rsidRDefault="009A1BEA" w:rsidP="001E762F">
                            <w:pPr>
                              <w:rPr>
                                <w:lang w:val="nb-NO"/>
                              </w:rPr>
                            </w:pPr>
                            <w:r w:rsidRPr="00C71BDD">
                              <w:rPr>
                                <w:lang w:val="nb-NO"/>
                              </w:rPr>
                              <w:t>Baumeisterstrasse 2</w:t>
                            </w:r>
                          </w:p>
                          <w:p w14:paraId="4518CD17" w14:textId="77777777" w:rsidR="009A1BEA" w:rsidRPr="00C71BDD" w:rsidRDefault="009A1BEA" w:rsidP="001E762F">
                            <w:pPr>
                              <w:rPr>
                                <w:lang w:val="nb-NO"/>
                              </w:rPr>
                            </w:pPr>
                            <w:r w:rsidRPr="00C71BDD">
                              <w:rPr>
                                <w:lang w:val="nb-NO"/>
                              </w:rPr>
                              <w:t>20099 Hamburg, Germany</w:t>
                            </w:r>
                          </w:p>
                          <w:p w14:paraId="6380D707" w14:textId="77777777" w:rsidR="009A1BEA" w:rsidRPr="00C71BDD" w:rsidRDefault="009A1BEA" w:rsidP="001E762F">
                            <w:pPr>
                              <w:rPr>
                                <w:lang w:val="nb-NO"/>
                              </w:rPr>
                            </w:pPr>
                            <w:r w:rsidRPr="00C71BDD">
                              <w:rPr>
                                <w:lang w:val="nb-NO"/>
                              </w:rPr>
                              <w:t xml:space="preserve">info@perspectives.cc </w:t>
                            </w:r>
                          </w:p>
                          <w:p w14:paraId="60C6020E" w14:textId="77777777" w:rsidR="009A1BEA" w:rsidRPr="00C71BDD" w:rsidRDefault="009A1BEA" w:rsidP="001E762F">
                            <w:r w:rsidRPr="00C71BDD">
                              <w:t>www.perspectives.cc</w:t>
                            </w:r>
                          </w:p>
                          <w:p w14:paraId="2749BD1C" w14:textId="77777777" w:rsidR="009A1BEA" w:rsidRPr="00873443" w:rsidRDefault="009A1BEA" w:rsidP="001E762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4CF6FC" id="Text Box 7" o:spid="_x0000_s1028" type="#_x0000_t202" style="position:absolute;left:0;text-align:left;margin-left:419.8pt;margin-top:731.45pt;width:151.65pt;height:205.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" filled="f" stroked="f">
                <v:textbox style="mso-fit-shape-to-text:t">
                  <w:txbxContent>
                    <w:p w14:paraId="1906EDD8" w14:textId="77777777" w:rsidR="009A1BEA" w:rsidRPr="00C71BDD" w:rsidRDefault="009A1BEA" w:rsidP="001E762F">
                      <w:r w:rsidRPr="00C71BDD">
                        <w:t>perspectives GmbH</w:t>
                      </w:r>
                    </w:p>
                    <w:p w14:paraId="39DF3882" w14:textId="77777777" w:rsidR="009A1BEA" w:rsidRPr="00C71BDD" w:rsidRDefault="009A1BEA" w:rsidP="001E762F">
                      <w:r w:rsidRPr="00C71BDD">
                        <w:t>Hamburg Office</w:t>
                      </w:r>
                    </w:p>
                    <w:p w14:paraId="4387A02E" w14:textId="77777777" w:rsidR="009A1BEA" w:rsidRPr="00C71BDD" w:rsidRDefault="009A1BEA" w:rsidP="001E762F">
                      <w:pPr>
                        <w:rPr>
                          <w:lang w:val="nb-NO"/>
                        </w:rPr>
                      </w:pPr>
                      <w:r w:rsidRPr="00C71BDD">
                        <w:rPr>
                          <w:lang w:val="nb-NO"/>
                        </w:rPr>
                        <w:t>Baumeisterstrasse 2</w:t>
                      </w:r>
                    </w:p>
                    <w:p w14:paraId="4518CD17" w14:textId="77777777" w:rsidR="009A1BEA" w:rsidRPr="00C71BDD" w:rsidRDefault="009A1BEA" w:rsidP="001E762F">
                      <w:pPr>
                        <w:rPr>
                          <w:lang w:val="nb-NO"/>
                        </w:rPr>
                      </w:pPr>
                      <w:r w:rsidRPr="00C71BDD">
                        <w:rPr>
                          <w:lang w:val="nb-NO"/>
                        </w:rPr>
                        <w:t>20099 Hamburg, Germany</w:t>
                      </w:r>
                    </w:p>
                    <w:p w14:paraId="6380D707" w14:textId="77777777" w:rsidR="009A1BEA" w:rsidRPr="00C71BDD" w:rsidRDefault="009A1BEA" w:rsidP="001E762F">
                      <w:pPr>
                        <w:rPr>
                          <w:lang w:val="nb-NO"/>
                        </w:rPr>
                      </w:pPr>
                      <w:r w:rsidRPr="00C71BDD">
                        <w:rPr>
                          <w:lang w:val="nb-NO"/>
                        </w:rPr>
                        <w:t xml:space="preserve">info@perspectives.cc </w:t>
                      </w:r>
                    </w:p>
                    <w:p w14:paraId="60C6020E" w14:textId="77777777" w:rsidR="009A1BEA" w:rsidRPr="00C71BDD" w:rsidRDefault="009A1BEA" w:rsidP="001E762F">
                      <w:r w:rsidRPr="00C71BDD">
                        <w:t>www.perspectives.cc</w:t>
                      </w:r>
                    </w:p>
                    <w:p w14:paraId="2749BD1C" w14:textId="77777777" w:rsidR="009A1BEA" w:rsidRPr="00873443" w:rsidRDefault="009A1BEA" w:rsidP="001E762F"/>
                  </w:txbxContent>
                </v:textbox>
              </v:shape>
            </w:pict>
          </mc:Fallback>
        </mc:AlternateContent>
      </w:r>
      <w:r w:rsidR="00C537C5" w:rsidRPr="00FC1E5A">
        <w:rPr>
          <w:rFonts w:cs="Arial"/>
          <w:noProof/>
          <w:lang w:val="nl-NL" w:eastAsia="nl-NL"/>
        </w:rPr>
        <mc:AlternateContent>
          <mc:Choice Requires="wps">
            <w:drawing>
              <wp:anchor distT="0" distB="0" distL="114300" distR="114300" simplePos="0" relativeHeight="251642368" behindDoc="0" locked="0" layoutInCell="1" allowOverlap="1" wp14:anchorId="0C6E2977" wp14:editId="793975A5">
                <wp:simplePos x="0" y="0"/>
                <wp:positionH relativeFrom="column">
                  <wp:posOffset>5331460</wp:posOffset>
                </wp:positionH>
                <wp:positionV relativeFrom="paragraph">
                  <wp:posOffset>9288145</wp:posOffset>
                </wp:positionV>
                <wp:extent cx="1925955" cy="2610485"/>
                <wp:effectExtent l="0" t="0" r="0" b="5715"/>
                <wp:wrapNone/>
                <wp:docPr id="11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261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4A457" w14:textId="77777777" w:rsidR="009A1BEA" w:rsidRPr="00873443" w:rsidRDefault="009A1BEA" w:rsidP="001E762F">
                            <w:r w:rsidRPr="00873443">
                              <w:t>perspectives GmbH</w:t>
                            </w:r>
                          </w:p>
                          <w:p w14:paraId="15717008" w14:textId="77777777" w:rsidR="009A1BEA" w:rsidRPr="00873443" w:rsidRDefault="009A1BEA" w:rsidP="001E762F">
                            <w:r w:rsidRPr="00873443">
                              <w:t>Hamburg Office</w:t>
                            </w:r>
                          </w:p>
                          <w:p w14:paraId="3BE38EE4" w14:textId="77777777" w:rsidR="009A1BEA" w:rsidRPr="00873443" w:rsidRDefault="009A1BEA" w:rsidP="001E762F">
                            <w:pPr>
                              <w:rPr>
                                <w:lang w:val="nb-NO"/>
                              </w:rPr>
                            </w:pPr>
                            <w:r w:rsidRPr="00873443">
                              <w:rPr>
                                <w:lang w:val="nb-NO"/>
                              </w:rPr>
                              <w:t>Baumeisterstrasse 2</w:t>
                            </w:r>
                          </w:p>
                          <w:p w14:paraId="23ED8C35" w14:textId="77777777" w:rsidR="009A1BEA" w:rsidRPr="00873443" w:rsidRDefault="009A1BEA" w:rsidP="001E762F">
                            <w:pPr>
                              <w:rPr>
                                <w:lang w:val="nb-NO"/>
                              </w:rPr>
                            </w:pPr>
                            <w:r w:rsidRPr="00873443">
                              <w:rPr>
                                <w:lang w:val="nb-NO"/>
                              </w:rPr>
                              <w:t>20099 Hamburg, Germany</w:t>
                            </w:r>
                          </w:p>
                          <w:p w14:paraId="6B289CC0" w14:textId="77777777" w:rsidR="009A1BEA" w:rsidRPr="00873443" w:rsidRDefault="009A1BEA" w:rsidP="001E762F">
                            <w:pPr>
                              <w:rPr>
                                <w:lang w:val="nb-NO"/>
                              </w:rPr>
                            </w:pPr>
                            <w:r w:rsidRPr="00873443">
                              <w:rPr>
                                <w:lang w:val="nb-NO"/>
                              </w:rPr>
                              <w:t xml:space="preserve">info@perspectives.cc </w:t>
                            </w:r>
                          </w:p>
                          <w:p w14:paraId="1012673E" w14:textId="77777777" w:rsidR="009A1BEA" w:rsidRPr="00873443" w:rsidRDefault="009A1BEA" w:rsidP="001E762F">
                            <w:r w:rsidRPr="00873443">
                              <w:t>www.perspectives.cc</w:t>
                            </w:r>
                          </w:p>
                          <w:p w14:paraId="2D0F61CF" w14:textId="77777777" w:rsidR="009A1BEA" w:rsidRPr="00873443" w:rsidRDefault="009A1BEA" w:rsidP="001E762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6E2977" id="Text Box 6" o:spid="_x0000_s1029" type="#_x0000_t202" style="position:absolute;left:0;text-align:left;margin-left:419.8pt;margin-top:731.35pt;width:151.65pt;height:205.55pt;z-index:25164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" filled="f" stroked="f">
                <v:textbox style="mso-fit-shape-to-text:t">
                  <w:txbxContent>
                    <w:p w14:paraId="4494A457" w14:textId="77777777" w:rsidR="009A1BEA" w:rsidRPr="00873443" w:rsidRDefault="009A1BEA" w:rsidP="001E762F">
                      <w:r w:rsidRPr="00873443">
                        <w:t>perspectives GmbH</w:t>
                      </w:r>
                    </w:p>
                    <w:p w14:paraId="15717008" w14:textId="77777777" w:rsidR="009A1BEA" w:rsidRPr="00873443" w:rsidRDefault="009A1BEA" w:rsidP="001E762F">
                      <w:r w:rsidRPr="00873443">
                        <w:t>Hamburg Office</w:t>
                      </w:r>
                    </w:p>
                    <w:p w14:paraId="3BE38EE4" w14:textId="77777777" w:rsidR="009A1BEA" w:rsidRPr="00873443" w:rsidRDefault="009A1BEA" w:rsidP="001E762F">
                      <w:pPr>
                        <w:rPr>
                          <w:lang w:val="nb-NO"/>
                        </w:rPr>
                      </w:pPr>
                      <w:r w:rsidRPr="00873443">
                        <w:rPr>
                          <w:lang w:val="nb-NO"/>
                        </w:rPr>
                        <w:t>Baumeisterstrasse 2</w:t>
                      </w:r>
                    </w:p>
                    <w:p w14:paraId="23ED8C35" w14:textId="77777777" w:rsidR="009A1BEA" w:rsidRPr="00873443" w:rsidRDefault="009A1BEA" w:rsidP="001E762F">
                      <w:pPr>
                        <w:rPr>
                          <w:lang w:val="nb-NO"/>
                        </w:rPr>
                      </w:pPr>
                      <w:r w:rsidRPr="00873443">
                        <w:rPr>
                          <w:lang w:val="nb-NO"/>
                        </w:rPr>
                        <w:t>20099 Hamburg, Germany</w:t>
                      </w:r>
                    </w:p>
                    <w:p w14:paraId="6B289CC0" w14:textId="77777777" w:rsidR="009A1BEA" w:rsidRPr="00873443" w:rsidRDefault="009A1BEA" w:rsidP="001E762F">
                      <w:pPr>
                        <w:rPr>
                          <w:lang w:val="nb-NO"/>
                        </w:rPr>
                      </w:pPr>
                      <w:r w:rsidRPr="00873443">
                        <w:rPr>
                          <w:lang w:val="nb-NO"/>
                        </w:rPr>
                        <w:t xml:space="preserve">info@perspectives.cc </w:t>
                      </w:r>
                    </w:p>
                    <w:p w14:paraId="1012673E" w14:textId="77777777" w:rsidR="009A1BEA" w:rsidRPr="00873443" w:rsidRDefault="009A1BEA" w:rsidP="001E762F">
                      <w:r w:rsidRPr="00873443">
                        <w:t>www.perspectives.cc</w:t>
                      </w:r>
                    </w:p>
                    <w:p w14:paraId="2D0F61CF" w14:textId="77777777" w:rsidR="009A1BEA" w:rsidRPr="00873443" w:rsidRDefault="009A1BEA" w:rsidP="001E762F"/>
                  </w:txbxContent>
                </v:textbox>
              </v:shape>
            </w:pict>
          </mc:Fallback>
        </mc:AlternateContent>
      </w:r>
    </w:p>
    <w:p w14:paraId="518BBF81" w14:textId="77777777" w:rsidR="00846651" w:rsidRPr="00FC1E5A" w:rsidRDefault="00846651">
      <w:pPr>
        <w:spacing w:after="0" w:line="240" w:lineRule="auto"/>
        <w:jc w:val="left"/>
        <w:rPr>
          <w:rFonts w:cs="Arial"/>
          <w:color w:val="1F497D" w:themeColor="text2"/>
          <w:sz w:val="24"/>
          <w:szCs w:val="24"/>
        </w:rPr>
      </w:pPr>
    </w:p>
    <w:p w14:paraId="793E93CC" w14:textId="77777777" w:rsidR="001274B2" w:rsidRPr="008B7778" w:rsidRDefault="001274B2" w:rsidP="008B7778">
      <w:pPr>
        <w:rPr>
          <w:b/>
          <w:bCs/>
          <w:color w:val="1F497D" w:themeColor="text2"/>
          <w:sz w:val="22"/>
          <w:szCs w:val="22"/>
        </w:rPr>
      </w:pPr>
      <w:bookmarkStart w:id="2" w:name="_Hlk81392996"/>
      <w:r w:rsidRPr="008B7778">
        <w:rPr>
          <w:b/>
          <w:bCs/>
          <w:color w:val="1F497D" w:themeColor="text2"/>
          <w:sz w:val="22"/>
          <w:szCs w:val="22"/>
        </w:rPr>
        <w:t>Table of content</w:t>
      </w:r>
      <w:r w:rsidR="00EE288D" w:rsidRPr="008B7778">
        <w:rPr>
          <w:b/>
          <w:bCs/>
          <w:color w:val="1F497D" w:themeColor="text2"/>
          <w:sz w:val="22"/>
          <w:szCs w:val="22"/>
        </w:rPr>
        <w:t>s</w:t>
      </w:r>
    </w:p>
    <w:p w14:paraId="57BB8CC0" w14:textId="04DC44C4" w:rsidR="008B7778" w:rsidRDefault="001274B2">
      <w:pPr>
        <w:pStyle w:val="Verzeichnis1"/>
        <w:rPr>
          <w:rFonts w:eastAsiaTheme="minorEastAsia" w:cstheme="minorBidi"/>
          <w:b w:val="0"/>
          <w:bCs w:val="0"/>
          <w:caps w:val="0"/>
          <w:noProof/>
          <w:sz w:val="22"/>
          <w:szCs w:val="22"/>
          <w:lang w:val="en-GB" w:eastAsia="en-GB"/>
        </w:rPr>
      </w:pPr>
      <w:r w:rsidRPr="00FC1E5A">
        <w:rPr>
          <w:rFonts w:ascii="Arial" w:hAnsi="Arial" w:cs="Arial"/>
        </w:rPr>
        <w:fldChar w:fldCharType="begin"/>
      </w:r>
      <w:r w:rsidRPr="00FC1E5A">
        <w:rPr>
          <w:rFonts w:ascii="Arial" w:hAnsi="Arial" w:cs="Arial"/>
        </w:rPr>
        <w:instrText xml:space="preserve"> TOC \o "1-2" \h \z \u </w:instrText>
      </w:r>
      <w:r w:rsidRPr="00FC1E5A">
        <w:rPr>
          <w:rFonts w:ascii="Arial" w:hAnsi="Arial" w:cs="Arial"/>
        </w:rPr>
        <w:fldChar w:fldCharType="separate"/>
      </w:r>
      <w:hyperlink w:anchor="_Toc84520023" w:history="1">
        <w:r w:rsidR="008B7778" w:rsidRPr="00E8167B">
          <w:rPr>
            <w:rStyle w:val="Hyperlink"/>
            <w:rFonts w:ascii="Arial" w:hAnsi="Arial"/>
            <w:noProof/>
          </w:rPr>
          <w:t>Key messages</w:t>
        </w:r>
        <w:r w:rsidR="008B7778">
          <w:rPr>
            <w:noProof/>
            <w:webHidden/>
          </w:rPr>
          <w:tab/>
        </w:r>
        <w:r w:rsidR="008B7778">
          <w:rPr>
            <w:noProof/>
            <w:webHidden/>
          </w:rPr>
          <w:fldChar w:fldCharType="begin"/>
        </w:r>
        <w:r w:rsidR="008B7778">
          <w:rPr>
            <w:noProof/>
            <w:webHidden/>
          </w:rPr>
          <w:instrText xml:space="preserve"> PAGEREF _Toc84520023 \h </w:instrText>
        </w:r>
        <w:r w:rsidR="008B7778">
          <w:rPr>
            <w:noProof/>
            <w:webHidden/>
          </w:rPr>
        </w:r>
        <w:r w:rsidR="008B7778">
          <w:rPr>
            <w:noProof/>
            <w:webHidden/>
          </w:rPr>
          <w:fldChar w:fldCharType="separate"/>
        </w:r>
        <w:r w:rsidR="008B7778">
          <w:rPr>
            <w:noProof/>
            <w:webHidden/>
          </w:rPr>
          <w:t>3</w:t>
        </w:r>
        <w:r w:rsidR="008B7778">
          <w:rPr>
            <w:noProof/>
            <w:webHidden/>
          </w:rPr>
          <w:fldChar w:fldCharType="end"/>
        </w:r>
      </w:hyperlink>
    </w:p>
    <w:p w14:paraId="51138B9F" w14:textId="7A44FA68" w:rsidR="008B7778" w:rsidRDefault="00CD437F">
      <w:pPr>
        <w:pStyle w:val="Verzeichnis1"/>
        <w:rPr>
          <w:rFonts w:eastAsiaTheme="minorEastAsia" w:cstheme="minorBidi"/>
          <w:b w:val="0"/>
          <w:bCs w:val="0"/>
          <w:caps w:val="0"/>
          <w:noProof/>
          <w:sz w:val="22"/>
          <w:szCs w:val="22"/>
          <w:lang w:val="en-GB" w:eastAsia="en-GB"/>
        </w:rPr>
      </w:pPr>
      <w:hyperlink w:anchor="_Toc84520024" w:history="1">
        <w:r w:rsidR="008B7778" w:rsidRPr="00E8167B">
          <w:rPr>
            <w:rStyle w:val="Hyperlink"/>
            <w:rFonts w:ascii="Arial" w:hAnsi="Arial"/>
            <w:noProof/>
          </w:rPr>
          <w:t>1.</w:t>
        </w:r>
        <w:r w:rsidR="008B7778">
          <w:rPr>
            <w:rFonts w:eastAsiaTheme="minorEastAsia" w:cstheme="minorBidi"/>
            <w:b w:val="0"/>
            <w:bCs w:val="0"/>
            <w:caps w:val="0"/>
            <w:noProof/>
            <w:sz w:val="22"/>
            <w:szCs w:val="22"/>
            <w:lang w:val="en-GB" w:eastAsia="en-GB"/>
          </w:rPr>
          <w:tab/>
        </w:r>
        <w:r w:rsidR="008B7778" w:rsidRPr="00E8167B">
          <w:rPr>
            <w:rStyle w:val="Hyperlink"/>
            <w:rFonts w:ascii="Arial" w:hAnsi="Arial"/>
            <w:noProof/>
          </w:rPr>
          <w:t>Introduction</w:t>
        </w:r>
        <w:r w:rsidR="008B7778">
          <w:rPr>
            <w:noProof/>
            <w:webHidden/>
          </w:rPr>
          <w:tab/>
        </w:r>
        <w:r w:rsidR="008B7778">
          <w:rPr>
            <w:noProof/>
            <w:webHidden/>
          </w:rPr>
          <w:fldChar w:fldCharType="begin"/>
        </w:r>
        <w:r w:rsidR="008B7778">
          <w:rPr>
            <w:noProof/>
            <w:webHidden/>
          </w:rPr>
          <w:instrText xml:space="preserve"> PAGEREF _Toc84520024 \h </w:instrText>
        </w:r>
        <w:r w:rsidR="008B7778">
          <w:rPr>
            <w:noProof/>
            <w:webHidden/>
          </w:rPr>
        </w:r>
        <w:r w:rsidR="008B7778">
          <w:rPr>
            <w:noProof/>
            <w:webHidden/>
          </w:rPr>
          <w:fldChar w:fldCharType="separate"/>
        </w:r>
        <w:r w:rsidR="008B7778">
          <w:rPr>
            <w:noProof/>
            <w:webHidden/>
          </w:rPr>
          <w:t>4</w:t>
        </w:r>
        <w:r w:rsidR="008B7778">
          <w:rPr>
            <w:noProof/>
            <w:webHidden/>
          </w:rPr>
          <w:fldChar w:fldCharType="end"/>
        </w:r>
      </w:hyperlink>
    </w:p>
    <w:p w14:paraId="75E045D9" w14:textId="5B906D7E" w:rsidR="008B7778" w:rsidRDefault="00CD437F">
      <w:pPr>
        <w:pStyle w:val="Verzeichnis1"/>
        <w:rPr>
          <w:rFonts w:eastAsiaTheme="minorEastAsia" w:cstheme="minorBidi"/>
          <w:b w:val="0"/>
          <w:bCs w:val="0"/>
          <w:caps w:val="0"/>
          <w:noProof/>
          <w:sz w:val="22"/>
          <w:szCs w:val="22"/>
          <w:lang w:val="en-GB" w:eastAsia="en-GB"/>
        </w:rPr>
      </w:pPr>
      <w:hyperlink w:anchor="_Toc84520025" w:history="1">
        <w:r w:rsidR="008B7778" w:rsidRPr="00E8167B">
          <w:rPr>
            <w:rStyle w:val="Hyperlink"/>
            <w:rFonts w:ascii="Arial" w:hAnsi="Arial"/>
            <w:noProof/>
          </w:rPr>
          <w:t>2.</w:t>
        </w:r>
        <w:r w:rsidR="008B7778">
          <w:rPr>
            <w:rFonts w:eastAsiaTheme="minorEastAsia" w:cstheme="minorBidi"/>
            <w:b w:val="0"/>
            <w:bCs w:val="0"/>
            <w:caps w:val="0"/>
            <w:noProof/>
            <w:sz w:val="22"/>
            <w:szCs w:val="22"/>
            <w:lang w:val="en-GB" w:eastAsia="en-GB"/>
          </w:rPr>
          <w:tab/>
        </w:r>
        <w:r w:rsidR="008B7778" w:rsidRPr="00E8167B">
          <w:rPr>
            <w:rStyle w:val="Hyperlink"/>
            <w:rFonts w:ascii="Arial" w:hAnsi="Arial"/>
            <w:noProof/>
          </w:rPr>
          <w:t>Officially supported export finance in the Netherlands</w:t>
        </w:r>
        <w:r w:rsidR="008B7778">
          <w:rPr>
            <w:noProof/>
            <w:webHidden/>
          </w:rPr>
          <w:tab/>
        </w:r>
        <w:r w:rsidR="008B7778">
          <w:rPr>
            <w:noProof/>
            <w:webHidden/>
          </w:rPr>
          <w:fldChar w:fldCharType="begin"/>
        </w:r>
        <w:r w:rsidR="008B7778">
          <w:rPr>
            <w:noProof/>
            <w:webHidden/>
          </w:rPr>
          <w:instrText xml:space="preserve"> PAGEREF _Toc84520025 \h </w:instrText>
        </w:r>
        <w:r w:rsidR="008B7778">
          <w:rPr>
            <w:noProof/>
            <w:webHidden/>
          </w:rPr>
        </w:r>
        <w:r w:rsidR="008B7778">
          <w:rPr>
            <w:noProof/>
            <w:webHidden/>
          </w:rPr>
          <w:fldChar w:fldCharType="separate"/>
        </w:r>
        <w:r w:rsidR="008B7778">
          <w:rPr>
            <w:noProof/>
            <w:webHidden/>
          </w:rPr>
          <w:t>5</w:t>
        </w:r>
        <w:r w:rsidR="008B7778">
          <w:rPr>
            <w:noProof/>
            <w:webHidden/>
          </w:rPr>
          <w:fldChar w:fldCharType="end"/>
        </w:r>
      </w:hyperlink>
    </w:p>
    <w:p w14:paraId="37E49609" w14:textId="2F66B3FF" w:rsidR="008B7778" w:rsidRDefault="00CD437F">
      <w:pPr>
        <w:pStyle w:val="Verzeichnis1"/>
        <w:rPr>
          <w:rFonts w:eastAsiaTheme="minorEastAsia" w:cstheme="minorBidi"/>
          <w:b w:val="0"/>
          <w:bCs w:val="0"/>
          <w:caps w:val="0"/>
          <w:noProof/>
          <w:sz w:val="22"/>
          <w:szCs w:val="22"/>
          <w:lang w:val="en-GB" w:eastAsia="en-GB"/>
        </w:rPr>
      </w:pPr>
      <w:hyperlink w:anchor="_Toc84520026" w:history="1">
        <w:r w:rsidR="008B7778" w:rsidRPr="00E8167B">
          <w:rPr>
            <w:rStyle w:val="Hyperlink"/>
            <w:rFonts w:ascii="Arial" w:hAnsi="Arial"/>
            <w:noProof/>
          </w:rPr>
          <w:t>3.</w:t>
        </w:r>
        <w:r w:rsidR="008B7778">
          <w:rPr>
            <w:rFonts w:eastAsiaTheme="minorEastAsia" w:cstheme="minorBidi"/>
            <w:b w:val="0"/>
            <w:bCs w:val="0"/>
            <w:caps w:val="0"/>
            <w:noProof/>
            <w:sz w:val="22"/>
            <w:szCs w:val="22"/>
            <w:lang w:val="en-GB" w:eastAsia="en-GB"/>
          </w:rPr>
          <w:tab/>
        </w:r>
        <w:r w:rsidR="008B7778" w:rsidRPr="00E8167B">
          <w:rPr>
            <w:rStyle w:val="Hyperlink"/>
            <w:rFonts w:ascii="Arial" w:hAnsi="Arial"/>
            <w:noProof/>
          </w:rPr>
          <w:t>Climate-related policies in officially supported Dutch export finance</w:t>
        </w:r>
        <w:r w:rsidR="008B7778">
          <w:rPr>
            <w:noProof/>
            <w:webHidden/>
          </w:rPr>
          <w:tab/>
        </w:r>
        <w:r w:rsidR="008B7778">
          <w:rPr>
            <w:noProof/>
            <w:webHidden/>
          </w:rPr>
          <w:fldChar w:fldCharType="begin"/>
        </w:r>
        <w:r w:rsidR="008B7778">
          <w:rPr>
            <w:noProof/>
            <w:webHidden/>
          </w:rPr>
          <w:instrText xml:space="preserve"> PAGEREF _Toc84520026 \h </w:instrText>
        </w:r>
        <w:r w:rsidR="008B7778">
          <w:rPr>
            <w:noProof/>
            <w:webHidden/>
          </w:rPr>
        </w:r>
        <w:r w:rsidR="008B7778">
          <w:rPr>
            <w:noProof/>
            <w:webHidden/>
          </w:rPr>
          <w:fldChar w:fldCharType="separate"/>
        </w:r>
        <w:r w:rsidR="008B7778">
          <w:rPr>
            <w:noProof/>
            <w:webHidden/>
          </w:rPr>
          <w:t>7</w:t>
        </w:r>
        <w:r w:rsidR="008B7778">
          <w:rPr>
            <w:noProof/>
            <w:webHidden/>
          </w:rPr>
          <w:fldChar w:fldCharType="end"/>
        </w:r>
      </w:hyperlink>
    </w:p>
    <w:p w14:paraId="575CA904" w14:textId="54352999" w:rsidR="008B7778" w:rsidRDefault="00CD437F">
      <w:pPr>
        <w:pStyle w:val="Verzeichnis1"/>
        <w:rPr>
          <w:rFonts w:eastAsiaTheme="minorEastAsia" w:cstheme="minorBidi"/>
          <w:b w:val="0"/>
          <w:bCs w:val="0"/>
          <w:caps w:val="0"/>
          <w:noProof/>
          <w:sz w:val="22"/>
          <w:szCs w:val="22"/>
          <w:lang w:val="en-GB" w:eastAsia="en-GB"/>
        </w:rPr>
      </w:pPr>
      <w:hyperlink w:anchor="_Toc84520027" w:history="1">
        <w:r w:rsidR="008B7778" w:rsidRPr="00E8167B">
          <w:rPr>
            <w:rStyle w:val="Hyperlink"/>
            <w:rFonts w:ascii="Arial" w:hAnsi="Arial"/>
            <w:noProof/>
          </w:rPr>
          <w:t>4.</w:t>
        </w:r>
        <w:r w:rsidR="008B7778">
          <w:rPr>
            <w:rFonts w:eastAsiaTheme="minorEastAsia" w:cstheme="minorBidi"/>
            <w:b w:val="0"/>
            <w:bCs w:val="0"/>
            <w:caps w:val="0"/>
            <w:noProof/>
            <w:sz w:val="22"/>
            <w:szCs w:val="22"/>
            <w:lang w:val="en-GB" w:eastAsia="en-GB"/>
          </w:rPr>
          <w:tab/>
        </w:r>
        <w:r w:rsidR="008B7778" w:rsidRPr="00E8167B">
          <w:rPr>
            <w:rStyle w:val="Hyperlink"/>
            <w:rFonts w:ascii="Arial" w:hAnsi="Arial"/>
            <w:noProof/>
          </w:rPr>
          <w:t>Assessment of Atradius DSB´s alignment with the Paris Agreement</w:t>
        </w:r>
        <w:r w:rsidR="008B7778">
          <w:rPr>
            <w:noProof/>
            <w:webHidden/>
          </w:rPr>
          <w:tab/>
        </w:r>
        <w:r w:rsidR="008B7778">
          <w:rPr>
            <w:noProof/>
            <w:webHidden/>
          </w:rPr>
          <w:fldChar w:fldCharType="begin"/>
        </w:r>
        <w:r w:rsidR="008B7778">
          <w:rPr>
            <w:noProof/>
            <w:webHidden/>
          </w:rPr>
          <w:instrText xml:space="preserve"> PAGEREF _Toc84520027 \h </w:instrText>
        </w:r>
        <w:r w:rsidR="008B7778">
          <w:rPr>
            <w:noProof/>
            <w:webHidden/>
          </w:rPr>
        </w:r>
        <w:r w:rsidR="008B7778">
          <w:rPr>
            <w:noProof/>
            <w:webHidden/>
          </w:rPr>
          <w:fldChar w:fldCharType="separate"/>
        </w:r>
        <w:r w:rsidR="008B7778">
          <w:rPr>
            <w:noProof/>
            <w:webHidden/>
          </w:rPr>
          <w:t>9</w:t>
        </w:r>
        <w:r w:rsidR="008B7778">
          <w:rPr>
            <w:noProof/>
            <w:webHidden/>
          </w:rPr>
          <w:fldChar w:fldCharType="end"/>
        </w:r>
      </w:hyperlink>
    </w:p>
    <w:p w14:paraId="18CCDED0" w14:textId="27B61176" w:rsidR="008B7778" w:rsidRDefault="00CD437F">
      <w:pPr>
        <w:pStyle w:val="Verzeichnis2"/>
        <w:tabs>
          <w:tab w:val="left" w:pos="800"/>
          <w:tab w:val="right" w:leader="dot" w:pos="9016"/>
        </w:tabs>
        <w:rPr>
          <w:rFonts w:eastAsiaTheme="minorEastAsia" w:cstheme="minorBidi"/>
          <w:smallCaps w:val="0"/>
          <w:noProof/>
          <w:sz w:val="22"/>
          <w:szCs w:val="22"/>
          <w:lang w:val="en-GB" w:eastAsia="en-GB"/>
        </w:rPr>
      </w:pPr>
      <w:hyperlink w:anchor="_Toc84520028" w:history="1">
        <w:r w:rsidR="008B7778" w:rsidRPr="00E8167B">
          <w:rPr>
            <w:rStyle w:val="Hyperlink"/>
            <w:rFonts w:ascii="Arial" w:hAnsi="Arial"/>
            <w:noProof/>
          </w:rPr>
          <w:t>4.1.</w:t>
        </w:r>
        <w:r w:rsidR="008B7778">
          <w:rPr>
            <w:rFonts w:eastAsiaTheme="minorEastAsia" w:cstheme="minorBidi"/>
            <w:smallCaps w:val="0"/>
            <w:noProof/>
            <w:sz w:val="22"/>
            <w:szCs w:val="22"/>
            <w:lang w:val="en-GB" w:eastAsia="en-GB"/>
          </w:rPr>
          <w:tab/>
        </w:r>
        <w:r w:rsidR="008B7778" w:rsidRPr="00E8167B">
          <w:rPr>
            <w:rStyle w:val="Hyperlink"/>
            <w:rFonts w:ascii="Arial" w:hAnsi="Arial"/>
            <w:noProof/>
          </w:rPr>
          <w:t>Dimension 1: Financial and non-financial disclosure and transparency</w:t>
        </w:r>
        <w:r w:rsidR="008B7778">
          <w:rPr>
            <w:noProof/>
            <w:webHidden/>
          </w:rPr>
          <w:tab/>
        </w:r>
        <w:r w:rsidR="008B7778">
          <w:rPr>
            <w:noProof/>
            <w:webHidden/>
          </w:rPr>
          <w:fldChar w:fldCharType="begin"/>
        </w:r>
        <w:r w:rsidR="008B7778">
          <w:rPr>
            <w:noProof/>
            <w:webHidden/>
          </w:rPr>
          <w:instrText xml:space="preserve"> PAGEREF _Toc84520028 \h </w:instrText>
        </w:r>
        <w:r w:rsidR="008B7778">
          <w:rPr>
            <w:noProof/>
            <w:webHidden/>
          </w:rPr>
        </w:r>
        <w:r w:rsidR="008B7778">
          <w:rPr>
            <w:noProof/>
            <w:webHidden/>
          </w:rPr>
          <w:fldChar w:fldCharType="separate"/>
        </w:r>
        <w:r w:rsidR="008B7778">
          <w:rPr>
            <w:noProof/>
            <w:webHidden/>
          </w:rPr>
          <w:t>10</w:t>
        </w:r>
        <w:r w:rsidR="008B7778">
          <w:rPr>
            <w:noProof/>
            <w:webHidden/>
          </w:rPr>
          <w:fldChar w:fldCharType="end"/>
        </w:r>
      </w:hyperlink>
    </w:p>
    <w:p w14:paraId="068C9BAC" w14:textId="226E5914" w:rsidR="008B7778" w:rsidRDefault="00CD437F">
      <w:pPr>
        <w:pStyle w:val="Verzeichnis2"/>
        <w:tabs>
          <w:tab w:val="left" w:pos="800"/>
          <w:tab w:val="right" w:leader="dot" w:pos="9016"/>
        </w:tabs>
        <w:rPr>
          <w:rFonts w:eastAsiaTheme="minorEastAsia" w:cstheme="minorBidi"/>
          <w:smallCaps w:val="0"/>
          <w:noProof/>
          <w:sz w:val="22"/>
          <w:szCs w:val="22"/>
          <w:lang w:val="en-GB" w:eastAsia="en-GB"/>
        </w:rPr>
      </w:pPr>
      <w:hyperlink w:anchor="_Toc84520029" w:history="1">
        <w:r w:rsidR="008B7778" w:rsidRPr="00E8167B">
          <w:rPr>
            <w:rStyle w:val="Hyperlink"/>
            <w:noProof/>
          </w:rPr>
          <w:t>4.2.</w:t>
        </w:r>
        <w:r w:rsidR="008B7778">
          <w:rPr>
            <w:rFonts w:eastAsiaTheme="minorEastAsia" w:cstheme="minorBidi"/>
            <w:smallCaps w:val="0"/>
            <w:noProof/>
            <w:sz w:val="22"/>
            <w:szCs w:val="22"/>
            <w:lang w:val="en-GB" w:eastAsia="en-GB"/>
          </w:rPr>
          <w:tab/>
        </w:r>
        <w:r w:rsidR="008B7778" w:rsidRPr="00E8167B">
          <w:rPr>
            <w:rStyle w:val="Hyperlink"/>
            <w:rFonts w:ascii="Arial" w:hAnsi="Arial"/>
            <w:noProof/>
          </w:rPr>
          <w:t>Dimension 2: Ambition of fossil fuel exclusion or restriction policies</w:t>
        </w:r>
        <w:r w:rsidR="008B7778">
          <w:rPr>
            <w:noProof/>
            <w:webHidden/>
          </w:rPr>
          <w:tab/>
        </w:r>
        <w:r w:rsidR="008B7778">
          <w:rPr>
            <w:noProof/>
            <w:webHidden/>
          </w:rPr>
          <w:fldChar w:fldCharType="begin"/>
        </w:r>
        <w:r w:rsidR="008B7778">
          <w:rPr>
            <w:noProof/>
            <w:webHidden/>
          </w:rPr>
          <w:instrText xml:space="preserve"> PAGEREF _Toc84520029 \h </w:instrText>
        </w:r>
        <w:r w:rsidR="008B7778">
          <w:rPr>
            <w:noProof/>
            <w:webHidden/>
          </w:rPr>
        </w:r>
        <w:r w:rsidR="008B7778">
          <w:rPr>
            <w:noProof/>
            <w:webHidden/>
          </w:rPr>
          <w:fldChar w:fldCharType="separate"/>
        </w:r>
        <w:r w:rsidR="008B7778">
          <w:rPr>
            <w:noProof/>
            <w:webHidden/>
          </w:rPr>
          <w:t>14</w:t>
        </w:r>
        <w:r w:rsidR="008B7778">
          <w:rPr>
            <w:noProof/>
            <w:webHidden/>
          </w:rPr>
          <w:fldChar w:fldCharType="end"/>
        </w:r>
      </w:hyperlink>
    </w:p>
    <w:p w14:paraId="5B3CBB3F" w14:textId="3BC56C81" w:rsidR="008B7778" w:rsidRDefault="00CD437F">
      <w:pPr>
        <w:pStyle w:val="Verzeichnis2"/>
        <w:tabs>
          <w:tab w:val="left" w:pos="800"/>
          <w:tab w:val="right" w:leader="dot" w:pos="9016"/>
        </w:tabs>
        <w:rPr>
          <w:rFonts w:eastAsiaTheme="minorEastAsia" w:cstheme="minorBidi"/>
          <w:smallCaps w:val="0"/>
          <w:noProof/>
          <w:sz w:val="22"/>
          <w:szCs w:val="22"/>
          <w:lang w:val="en-GB" w:eastAsia="en-GB"/>
        </w:rPr>
      </w:pPr>
      <w:hyperlink w:anchor="_Toc84520030" w:history="1">
        <w:r w:rsidR="008B7778" w:rsidRPr="00E8167B">
          <w:rPr>
            <w:rStyle w:val="Hyperlink"/>
            <w:rFonts w:ascii="Arial" w:hAnsi="Arial"/>
            <w:noProof/>
          </w:rPr>
          <w:t>4.3.</w:t>
        </w:r>
        <w:r w:rsidR="008B7778">
          <w:rPr>
            <w:rFonts w:eastAsiaTheme="minorEastAsia" w:cstheme="minorBidi"/>
            <w:smallCaps w:val="0"/>
            <w:noProof/>
            <w:sz w:val="22"/>
            <w:szCs w:val="22"/>
            <w:lang w:val="en-GB" w:eastAsia="en-GB"/>
          </w:rPr>
          <w:tab/>
        </w:r>
        <w:r w:rsidR="008B7778" w:rsidRPr="00E8167B">
          <w:rPr>
            <w:rStyle w:val="Hyperlink"/>
            <w:rFonts w:ascii="Arial" w:hAnsi="Arial"/>
            <w:noProof/>
          </w:rPr>
          <w:t>Dimension 3: Climate impact of and emission reduction targets for all activities</w:t>
        </w:r>
        <w:r w:rsidR="008B7778">
          <w:rPr>
            <w:noProof/>
            <w:webHidden/>
          </w:rPr>
          <w:tab/>
        </w:r>
        <w:r w:rsidR="008B7778">
          <w:rPr>
            <w:noProof/>
            <w:webHidden/>
          </w:rPr>
          <w:fldChar w:fldCharType="begin"/>
        </w:r>
        <w:r w:rsidR="008B7778">
          <w:rPr>
            <w:noProof/>
            <w:webHidden/>
          </w:rPr>
          <w:instrText xml:space="preserve"> PAGEREF _Toc84520030 \h </w:instrText>
        </w:r>
        <w:r w:rsidR="008B7778">
          <w:rPr>
            <w:noProof/>
            <w:webHidden/>
          </w:rPr>
        </w:r>
        <w:r w:rsidR="008B7778">
          <w:rPr>
            <w:noProof/>
            <w:webHidden/>
          </w:rPr>
          <w:fldChar w:fldCharType="separate"/>
        </w:r>
        <w:r w:rsidR="008B7778">
          <w:rPr>
            <w:noProof/>
            <w:webHidden/>
          </w:rPr>
          <w:t>17</w:t>
        </w:r>
        <w:r w:rsidR="008B7778">
          <w:rPr>
            <w:noProof/>
            <w:webHidden/>
          </w:rPr>
          <w:fldChar w:fldCharType="end"/>
        </w:r>
      </w:hyperlink>
    </w:p>
    <w:p w14:paraId="43E84EB5" w14:textId="148FBB4D" w:rsidR="008B7778" w:rsidRDefault="00CD437F">
      <w:pPr>
        <w:pStyle w:val="Verzeichnis2"/>
        <w:tabs>
          <w:tab w:val="left" w:pos="800"/>
          <w:tab w:val="right" w:leader="dot" w:pos="9016"/>
        </w:tabs>
        <w:rPr>
          <w:rFonts w:eastAsiaTheme="minorEastAsia" w:cstheme="minorBidi"/>
          <w:smallCaps w:val="0"/>
          <w:noProof/>
          <w:sz w:val="22"/>
          <w:szCs w:val="22"/>
          <w:lang w:val="en-GB" w:eastAsia="en-GB"/>
        </w:rPr>
      </w:pPr>
      <w:hyperlink w:anchor="_Toc84520031" w:history="1">
        <w:r w:rsidR="008B7778" w:rsidRPr="00E8167B">
          <w:rPr>
            <w:rStyle w:val="Hyperlink"/>
            <w:rFonts w:ascii="Arial" w:hAnsi="Arial"/>
            <w:noProof/>
          </w:rPr>
          <w:t>4.4.</w:t>
        </w:r>
        <w:r w:rsidR="008B7778">
          <w:rPr>
            <w:rFonts w:eastAsiaTheme="minorEastAsia" w:cstheme="minorBidi"/>
            <w:smallCaps w:val="0"/>
            <w:noProof/>
            <w:sz w:val="22"/>
            <w:szCs w:val="22"/>
            <w:lang w:val="en-GB" w:eastAsia="en-GB"/>
          </w:rPr>
          <w:tab/>
        </w:r>
        <w:r w:rsidR="008B7778" w:rsidRPr="00E8167B">
          <w:rPr>
            <w:rStyle w:val="Hyperlink"/>
            <w:rFonts w:ascii="Arial" w:hAnsi="Arial"/>
            <w:noProof/>
          </w:rPr>
          <w:t>Dimension 4: Climate finance: Positive contribution to the global climate transition</w:t>
        </w:r>
        <w:r w:rsidR="008B7778">
          <w:rPr>
            <w:noProof/>
            <w:webHidden/>
          </w:rPr>
          <w:tab/>
        </w:r>
        <w:r w:rsidR="008B7778">
          <w:rPr>
            <w:noProof/>
            <w:webHidden/>
          </w:rPr>
          <w:fldChar w:fldCharType="begin"/>
        </w:r>
        <w:r w:rsidR="008B7778">
          <w:rPr>
            <w:noProof/>
            <w:webHidden/>
          </w:rPr>
          <w:instrText xml:space="preserve"> PAGEREF _Toc84520031 \h </w:instrText>
        </w:r>
        <w:r w:rsidR="008B7778">
          <w:rPr>
            <w:noProof/>
            <w:webHidden/>
          </w:rPr>
        </w:r>
        <w:r w:rsidR="008B7778">
          <w:rPr>
            <w:noProof/>
            <w:webHidden/>
          </w:rPr>
          <w:fldChar w:fldCharType="separate"/>
        </w:r>
        <w:r w:rsidR="008B7778">
          <w:rPr>
            <w:noProof/>
            <w:webHidden/>
          </w:rPr>
          <w:t>19</w:t>
        </w:r>
        <w:r w:rsidR="008B7778">
          <w:rPr>
            <w:noProof/>
            <w:webHidden/>
          </w:rPr>
          <w:fldChar w:fldCharType="end"/>
        </w:r>
      </w:hyperlink>
    </w:p>
    <w:p w14:paraId="42204208" w14:textId="2AA45762" w:rsidR="008B7778" w:rsidRDefault="00CD437F">
      <w:pPr>
        <w:pStyle w:val="Verzeichnis2"/>
        <w:tabs>
          <w:tab w:val="left" w:pos="800"/>
          <w:tab w:val="right" w:leader="dot" w:pos="9016"/>
        </w:tabs>
        <w:rPr>
          <w:rFonts w:eastAsiaTheme="minorEastAsia" w:cstheme="minorBidi"/>
          <w:smallCaps w:val="0"/>
          <w:noProof/>
          <w:sz w:val="22"/>
          <w:szCs w:val="22"/>
          <w:lang w:val="en-GB" w:eastAsia="en-GB"/>
        </w:rPr>
      </w:pPr>
      <w:hyperlink w:anchor="_Toc84520032" w:history="1">
        <w:r w:rsidR="008B7778" w:rsidRPr="00E8167B">
          <w:rPr>
            <w:rStyle w:val="Hyperlink"/>
            <w:rFonts w:ascii="Arial" w:hAnsi="Arial"/>
            <w:noProof/>
          </w:rPr>
          <w:t>4.5.</w:t>
        </w:r>
        <w:r w:rsidR="008B7778">
          <w:rPr>
            <w:rFonts w:eastAsiaTheme="minorEastAsia" w:cstheme="minorBidi"/>
            <w:smallCaps w:val="0"/>
            <w:noProof/>
            <w:sz w:val="22"/>
            <w:szCs w:val="22"/>
            <w:lang w:val="en-GB" w:eastAsia="en-GB"/>
          </w:rPr>
          <w:tab/>
        </w:r>
        <w:r w:rsidR="008B7778" w:rsidRPr="00E8167B">
          <w:rPr>
            <w:rStyle w:val="Hyperlink"/>
            <w:rFonts w:ascii="Arial" w:hAnsi="Arial"/>
            <w:noProof/>
          </w:rPr>
          <w:t>Dimension 5: Engagement - Outreach and ‘pro-activeness’ of ECAs and their governments</w:t>
        </w:r>
        <w:r w:rsidR="008B7778">
          <w:rPr>
            <w:noProof/>
            <w:webHidden/>
          </w:rPr>
          <w:tab/>
        </w:r>
        <w:r w:rsidR="008B7778">
          <w:rPr>
            <w:noProof/>
            <w:webHidden/>
          </w:rPr>
          <w:fldChar w:fldCharType="begin"/>
        </w:r>
        <w:r w:rsidR="008B7778">
          <w:rPr>
            <w:noProof/>
            <w:webHidden/>
          </w:rPr>
          <w:instrText xml:space="preserve"> PAGEREF _Toc84520032 \h </w:instrText>
        </w:r>
        <w:r w:rsidR="008B7778">
          <w:rPr>
            <w:noProof/>
            <w:webHidden/>
          </w:rPr>
        </w:r>
        <w:r w:rsidR="008B7778">
          <w:rPr>
            <w:noProof/>
            <w:webHidden/>
          </w:rPr>
          <w:fldChar w:fldCharType="separate"/>
        </w:r>
        <w:r w:rsidR="008B7778">
          <w:rPr>
            <w:noProof/>
            <w:webHidden/>
          </w:rPr>
          <w:t>22</w:t>
        </w:r>
        <w:r w:rsidR="008B7778">
          <w:rPr>
            <w:noProof/>
            <w:webHidden/>
          </w:rPr>
          <w:fldChar w:fldCharType="end"/>
        </w:r>
      </w:hyperlink>
    </w:p>
    <w:p w14:paraId="6A92034C" w14:textId="3D65CA6A" w:rsidR="008B7778" w:rsidRDefault="00CD437F">
      <w:pPr>
        <w:pStyle w:val="Verzeichnis1"/>
        <w:rPr>
          <w:rFonts w:eastAsiaTheme="minorEastAsia" w:cstheme="minorBidi"/>
          <w:b w:val="0"/>
          <w:bCs w:val="0"/>
          <w:caps w:val="0"/>
          <w:noProof/>
          <w:sz w:val="22"/>
          <w:szCs w:val="22"/>
          <w:lang w:val="en-GB" w:eastAsia="en-GB"/>
        </w:rPr>
      </w:pPr>
      <w:hyperlink w:anchor="_Toc84520033" w:history="1">
        <w:r w:rsidR="008B7778" w:rsidRPr="00E8167B">
          <w:rPr>
            <w:rStyle w:val="Hyperlink"/>
            <w:rFonts w:ascii="Arial" w:hAnsi="Arial"/>
            <w:noProof/>
          </w:rPr>
          <w:t>5.</w:t>
        </w:r>
        <w:r w:rsidR="008B7778">
          <w:rPr>
            <w:rFonts w:eastAsiaTheme="minorEastAsia" w:cstheme="minorBidi"/>
            <w:b w:val="0"/>
            <w:bCs w:val="0"/>
            <w:caps w:val="0"/>
            <w:noProof/>
            <w:sz w:val="22"/>
            <w:szCs w:val="22"/>
            <w:lang w:val="en-GB" w:eastAsia="en-GB"/>
          </w:rPr>
          <w:tab/>
        </w:r>
        <w:r w:rsidR="008B7778" w:rsidRPr="00E8167B">
          <w:rPr>
            <w:rStyle w:val="Hyperlink"/>
            <w:rFonts w:ascii="Arial" w:hAnsi="Arial"/>
            <w:noProof/>
          </w:rPr>
          <w:t>Conclusions and recommendations</w:t>
        </w:r>
        <w:r w:rsidR="008B7778">
          <w:rPr>
            <w:noProof/>
            <w:webHidden/>
          </w:rPr>
          <w:tab/>
        </w:r>
        <w:r w:rsidR="008B7778">
          <w:rPr>
            <w:noProof/>
            <w:webHidden/>
          </w:rPr>
          <w:fldChar w:fldCharType="begin"/>
        </w:r>
        <w:r w:rsidR="008B7778">
          <w:rPr>
            <w:noProof/>
            <w:webHidden/>
          </w:rPr>
          <w:instrText xml:space="preserve"> PAGEREF _Toc84520033 \h </w:instrText>
        </w:r>
        <w:r w:rsidR="008B7778">
          <w:rPr>
            <w:noProof/>
            <w:webHidden/>
          </w:rPr>
        </w:r>
        <w:r w:rsidR="008B7778">
          <w:rPr>
            <w:noProof/>
            <w:webHidden/>
          </w:rPr>
          <w:fldChar w:fldCharType="separate"/>
        </w:r>
        <w:r w:rsidR="008B7778">
          <w:rPr>
            <w:noProof/>
            <w:webHidden/>
          </w:rPr>
          <w:t>25</w:t>
        </w:r>
        <w:r w:rsidR="008B7778">
          <w:rPr>
            <w:noProof/>
            <w:webHidden/>
          </w:rPr>
          <w:fldChar w:fldCharType="end"/>
        </w:r>
      </w:hyperlink>
    </w:p>
    <w:p w14:paraId="7E956501" w14:textId="6B7AEC95" w:rsidR="008B7778" w:rsidRDefault="00CD437F">
      <w:pPr>
        <w:pStyle w:val="Verzeichnis1"/>
        <w:rPr>
          <w:rFonts w:eastAsiaTheme="minorEastAsia" w:cstheme="minorBidi"/>
          <w:b w:val="0"/>
          <w:bCs w:val="0"/>
          <w:caps w:val="0"/>
          <w:noProof/>
          <w:sz w:val="22"/>
          <w:szCs w:val="22"/>
          <w:lang w:val="en-GB" w:eastAsia="en-GB"/>
        </w:rPr>
      </w:pPr>
      <w:hyperlink w:anchor="_Toc84520034" w:history="1">
        <w:r w:rsidR="008B7778" w:rsidRPr="00E8167B">
          <w:rPr>
            <w:rStyle w:val="Hyperlink"/>
            <w:rFonts w:ascii="Arial" w:hAnsi="Arial"/>
            <w:noProof/>
          </w:rPr>
          <w:t>6.</w:t>
        </w:r>
        <w:r w:rsidR="008B7778">
          <w:rPr>
            <w:rFonts w:eastAsiaTheme="minorEastAsia" w:cstheme="minorBidi"/>
            <w:b w:val="0"/>
            <w:bCs w:val="0"/>
            <w:caps w:val="0"/>
            <w:noProof/>
            <w:sz w:val="22"/>
            <w:szCs w:val="22"/>
            <w:lang w:val="en-GB" w:eastAsia="en-GB"/>
          </w:rPr>
          <w:tab/>
        </w:r>
        <w:r w:rsidR="008B7778" w:rsidRPr="00E8167B">
          <w:rPr>
            <w:rStyle w:val="Hyperlink"/>
            <w:rFonts w:ascii="Arial" w:hAnsi="Arial"/>
            <w:noProof/>
          </w:rPr>
          <w:t>References</w:t>
        </w:r>
        <w:r w:rsidR="008B7778">
          <w:rPr>
            <w:noProof/>
            <w:webHidden/>
          </w:rPr>
          <w:tab/>
        </w:r>
        <w:r w:rsidR="008B7778">
          <w:rPr>
            <w:noProof/>
            <w:webHidden/>
          </w:rPr>
          <w:fldChar w:fldCharType="begin"/>
        </w:r>
        <w:r w:rsidR="008B7778">
          <w:rPr>
            <w:noProof/>
            <w:webHidden/>
          </w:rPr>
          <w:instrText xml:space="preserve"> PAGEREF _Toc84520034 \h </w:instrText>
        </w:r>
        <w:r w:rsidR="008B7778">
          <w:rPr>
            <w:noProof/>
            <w:webHidden/>
          </w:rPr>
        </w:r>
        <w:r w:rsidR="008B7778">
          <w:rPr>
            <w:noProof/>
            <w:webHidden/>
          </w:rPr>
          <w:fldChar w:fldCharType="separate"/>
        </w:r>
        <w:r w:rsidR="008B7778">
          <w:rPr>
            <w:noProof/>
            <w:webHidden/>
          </w:rPr>
          <w:t>28</w:t>
        </w:r>
        <w:r w:rsidR="008B7778">
          <w:rPr>
            <w:noProof/>
            <w:webHidden/>
          </w:rPr>
          <w:fldChar w:fldCharType="end"/>
        </w:r>
      </w:hyperlink>
    </w:p>
    <w:p w14:paraId="57621A16" w14:textId="4450D4DE" w:rsidR="001274B2" w:rsidRPr="00FC1E5A" w:rsidRDefault="001274B2" w:rsidP="001274B2">
      <w:pPr>
        <w:rPr>
          <w:rFonts w:cs="Arial"/>
          <w:color w:val="004E7D"/>
          <w:sz w:val="22"/>
          <w:szCs w:val="28"/>
          <w:lang w:val="en-GB"/>
        </w:rPr>
      </w:pPr>
      <w:r w:rsidRPr="00FC1E5A">
        <w:rPr>
          <w:rFonts w:cs="Arial"/>
        </w:rPr>
        <w:fldChar w:fldCharType="end"/>
      </w:r>
      <w:r w:rsidRPr="00FC1E5A">
        <w:rPr>
          <w:rFonts w:cs="Arial"/>
        </w:rPr>
        <w:br w:type="page"/>
      </w:r>
    </w:p>
    <w:p w14:paraId="698F93EF" w14:textId="77777777" w:rsidR="001274B2" w:rsidRPr="00FC1E5A" w:rsidRDefault="001274B2" w:rsidP="001274B2">
      <w:pPr>
        <w:pStyle w:val="berschrift1"/>
        <w:numPr>
          <w:ilvl w:val="0"/>
          <w:numId w:val="0"/>
        </w:numPr>
        <w:ind w:left="360" w:hanging="360"/>
        <w:rPr>
          <w:rFonts w:ascii="Arial" w:hAnsi="Arial"/>
        </w:rPr>
      </w:pPr>
      <w:bookmarkStart w:id="3" w:name="_Toc84520023"/>
      <w:bookmarkEnd w:id="2"/>
      <w:r w:rsidRPr="00FC1E5A">
        <w:rPr>
          <w:rFonts w:ascii="Arial" w:hAnsi="Arial"/>
        </w:rPr>
        <w:lastRenderedPageBreak/>
        <w:t>Key messages</w:t>
      </w:r>
      <w:bookmarkEnd w:id="3"/>
    </w:p>
    <w:p w14:paraId="442B1EC7" w14:textId="191FD173" w:rsidR="001274B2" w:rsidRPr="00F736F9" w:rsidRDefault="001274B2" w:rsidP="00F736F9">
      <w:pPr>
        <w:numPr>
          <w:ilvl w:val="0"/>
          <w:numId w:val="16"/>
        </w:numPr>
        <w:rPr>
          <w:rFonts w:cs="Arial"/>
          <w:lang w:val="en-GB"/>
        </w:rPr>
      </w:pPr>
      <w:r w:rsidRPr="00FC1E5A">
        <w:rPr>
          <w:rFonts w:cs="Arial"/>
          <w:lang w:val="en-GB"/>
        </w:rPr>
        <w:t xml:space="preserve">The </w:t>
      </w:r>
      <w:r w:rsidR="00C24C8F" w:rsidRPr="00FC1E5A">
        <w:rPr>
          <w:rFonts w:cs="Arial"/>
          <w:lang w:val="en-GB"/>
        </w:rPr>
        <w:t>Atradius Dutch State Business (Atradius DSB)</w:t>
      </w:r>
      <w:r w:rsidR="0026126D">
        <w:rPr>
          <w:rStyle w:val="Funotenzeichen"/>
          <w:lang w:val="en-GB"/>
        </w:rPr>
        <w:footnoteReference w:id="2"/>
      </w:r>
      <w:r w:rsidR="00C24C8F" w:rsidRPr="00FC1E5A">
        <w:rPr>
          <w:rFonts w:cs="Arial"/>
          <w:lang w:val="en-GB"/>
        </w:rPr>
        <w:t>, the official Dutch</w:t>
      </w:r>
      <w:r w:rsidRPr="00FC1E5A">
        <w:rPr>
          <w:rFonts w:cs="Arial"/>
          <w:lang w:val="en-GB"/>
        </w:rPr>
        <w:t xml:space="preserve"> Export Credit Agency (ECA)</w:t>
      </w:r>
      <w:r w:rsidR="00C24C8F" w:rsidRPr="00FC1E5A">
        <w:rPr>
          <w:rFonts w:cs="Arial"/>
          <w:lang w:val="en-GB"/>
        </w:rPr>
        <w:t>,</w:t>
      </w:r>
      <w:r w:rsidRPr="00FC1E5A">
        <w:rPr>
          <w:rFonts w:cs="Arial"/>
          <w:lang w:val="en-GB"/>
        </w:rPr>
        <w:t xml:space="preserve"> </w:t>
      </w:r>
      <w:r w:rsidR="0011630F">
        <w:rPr>
          <w:rFonts w:cs="Arial"/>
          <w:lang w:val="en-GB"/>
        </w:rPr>
        <w:t xml:space="preserve">was assessed with regards to its alignment with the Paris Agreement across five dimensions using the </w:t>
      </w:r>
      <w:hyperlink r:id="rId17" w:history="1">
        <w:r w:rsidR="0011630F" w:rsidRPr="00947020">
          <w:rPr>
            <w:rStyle w:val="Hyperlink"/>
            <w:rFonts w:cs="Arial"/>
            <w:lang w:val="en-GB"/>
          </w:rPr>
          <w:t>methodology</w:t>
        </w:r>
      </w:hyperlink>
      <w:r w:rsidR="0011630F">
        <w:rPr>
          <w:rFonts w:cs="Arial"/>
          <w:lang w:val="en-GB"/>
        </w:rPr>
        <w:t xml:space="preserve"> developed by Perspectives Climate Research. </w:t>
      </w:r>
      <w:r w:rsidR="00996803" w:rsidRPr="00F736F9">
        <w:rPr>
          <w:rFonts w:cs="Arial"/>
          <w:lang w:val="en-GB"/>
        </w:rPr>
        <w:t>Overall</w:t>
      </w:r>
      <w:r w:rsidR="0011630F" w:rsidRPr="00F736F9">
        <w:rPr>
          <w:rFonts w:cs="Arial"/>
          <w:lang w:val="en-GB"/>
        </w:rPr>
        <w:t xml:space="preserve">, Atradius DSB was </w:t>
      </w:r>
      <w:r w:rsidRPr="00DD226C">
        <w:rPr>
          <w:rFonts w:cs="Arial"/>
          <w:lang w:val="en-GB"/>
        </w:rPr>
        <w:t xml:space="preserve">rated </w:t>
      </w:r>
      <w:r w:rsidR="008C0C7F" w:rsidRPr="00DD226C">
        <w:rPr>
          <w:rFonts w:cs="Arial"/>
          <w:lang w:val="en-GB"/>
        </w:rPr>
        <w:t xml:space="preserve">with </w:t>
      </w:r>
      <w:r w:rsidR="00CE1318" w:rsidRPr="00977873">
        <w:rPr>
          <w:rFonts w:cs="Arial"/>
          <w:b/>
          <w:bCs/>
          <w:lang w:val="en-GB"/>
        </w:rPr>
        <w:t>‘</w:t>
      </w:r>
      <w:r w:rsidR="003248B4">
        <w:rPr>
          <w:rFonts w:cs="Arial"/>
          <w:b/>
          <w:bCs/>
          <w:lang w:val="en-GB"/>
        </w:rPr>
        <w:t>Unaligned</w:t>
      </w:r>
      <w:r w:rsidR="000615BF" w:rsidRPr="00977873">
        <w:rPr>
          <w:rFonts w:cs="Arial"/>
          <w:b/>
          <w:bCs/>
          <w:lang w:val="en-GB"/>
        </w:rPr>
        <w:t>‘</w:t>
      </w:r>
      <w:r w:rsidR="009F7698" w:rsidRPr="00977873">
        <w:rPr>
          <w:rFonts w:cs="Arial"/>
          <w:b/>
          <w:bCs/>
          <w:lang w:val="en-GB"/>
        </w:rPr>
        <w:t xml:space="preserve"> </w:t>
      </w:r>
      <w:r w:rsidR="00F93B84" w:rsidRPr="00977873">
        <w:rPr>
          <w:rFonts w:cs="Arial"/>
          <w:b/>
          <w:bCs/>
          <w:lang w:val="en-GB"/>
        </w:rPr>
        <w:t>towards alignment with the Paris Agreement</w:t>
      </w:r>
      <w:r w:rsidR="00996803" w:rsidRPr="00F736F9">
        <w:rPr>
          <w:rFonts w:cs="Arial"/>
          <w:lang w:val="en-GB"/>
        </w:rPr>
        <w:t xml:space="preserve"> </w:t>
      </w:r>
      <w:r w:rsidR="000615BF" w:rsidRPr="00F736F9">
        <w:rPr>
          <w:rFonts w:cs="Arial"/>
          <w:lang w:val="en-GB"/>
        </w:rPr>
        <w:t>(</w:t>
      </w:r>
      <w:r w:rsidRPr="00F736F9">
        <w:rPr>
          <w:rFonts w:cs="Arial"/>
          <w:lang w:val="en-GB"/>
        </w:rPr>
        <w:t>assessment score 0.</w:t>
      </w:r>
      <w:r w:rsidR="00604D35">
        <w:rPr>
          <w:rFonts w:cs="Arial"/>
          <w:lang w:val="en-GB"/>
        </w:rPr>
        <w:t>46</w:t>
      </w:r>
      <w:r w:rsidRPr="00DD226C">
        <w:rPr>
          <w:rFonts w:cs="Arial"/>
          <w:lang w:val="en-GB"/>
        </w:rPr>
        <w:t>/3.00)</w:t>
      </w:r>
      <w:r w:rsidR="00F01B3B">
        <w:rPr>
          <w:rFonts w:cs="Arial"/>
          <w:lang w:val="en-GB"/>
        </w:rPr>
        <w:t xml:space="preserve"> – at the upper threshold to ‘Some progress’</w:t>
      </w:r>
      <w:r w:rsidR="0011630F" w:rsidRPr="00DD226C">
        <w:rPr>
          <w:rFonts w:cs="Arial"/>
          <w:lang w:val="en-GB"/>
        </w:rPr>
        <w:t>.</w:t>
      </w:r>
      <w:r w:rsidR="00996803" w:rsidRPr="00DD226C">
        <w:rPr>
          <w:rFonts w:cs="Arial"/>
          <w:lang w:val="en-GB"/>
        </w:rPr>
        <w:t xml:space="preserve"> </w:t>
      </w:r>
    </w:p>
    <w:p w14:paraId="454881CC" w14:textId="4DFDDDB1" w:rsidR="001274B2" w:rsidRPr="00FC1E5A" w:rsidRDefault="0017727C" w:rsidP="00F51458">
      <w:pPr>
        <w:numPr>
          <w:ilvl w:val="0"/>
          <w:numId w:val="16"/>
        </w:numPr>
        <w:spacing w:after="120"/>
        <w:ind w:left="714" w:hanging="357"/>
        <w:rPr>
          <w:rFonts w:cs="Arial"/>
          <w:lang w:val="en-GB"/>
        </w:rPr>
      </w:pPr>
      <w:r w:rsidRPr="00FC1E5A">
        <w:rPr>
          <w:rFonts w:cs="Arial"/>
          <w:lang w:val="en-GB"/>
        </w:rPr>
        <w:t xml:space="preserve">Atradius DSB </w:t>
      </w:r>
      <w:r w:rsidR="006F62F6" w:rsidRPr="00FC1E5A">
        <w:rPr>
          <w:rFonts w:cs="Arial"/>
          <w:lang w:val="en-GB"/>
        </w:rPr>
        <w:t>scored</w:t>
      </w:r>
      <w:r w:rsidR="001274B2" w:rsidRPr="00FC1E5A">
        <w:rPr>
          <w:rFonts w:cs="Arial"/>
          <w:lang w:val="en-GB"/>
        </w:rPr>
        <w:t xml:space="preserve"> </w:t>
      </w:r>
      <w:r w:rsidR="001274B2" w:rsidRPr="00977873">
        <w:rPr>
          <w:rFonts w:cs="Arial"/>
          <w:b/>
          <w:bCs/>
          <w:lang w:val="en-GB"/>
        </w:rPr>
        <w:t xml:space="preserve">best </w:t>
      </w:r>
      <w:r w:rsidR="006F62F6" w:rsidRPr="00977873">
        <w:rPr>
          <w:rFonts w:cs="Arial"/>
          <w:b/>
          <w:bCs/>
          <w:lang w:val="en-GB"/>
        </w:rPr>
        <w:t>on</w:t>
      </w:r>
      <w:r w:rsidR="00DB408B" w:rsidRPr="00977873">
        <w:rPr>
          <w:rFonts w:cs="Arial"/>
          <w:b/>
          <w:bCs/>
          <w:lang w:val="en-GB"/>
        </w:rPr>
        <w:t xml:space="preserve"> </w:t>
      </w:r>
      <w:r w:rsidR="0011630F" w:rsidRPr="00977873">
        <w:rPr>
          <w:rFonts w:cs="Arial"/>
          <w:b/>
          <w:bCs/>
          <w:lang w:val="en-GB"/>
        </w:rPr>
        <w:t>the</w:t>
      </w:r>
      <w:r w:rsidR="006F62F6" w:rsidRPr="00977873">
        <w:rPr>
          <w:rFonts w:cs="Arial"/>
          <w:b/>
          <w:bCs/>
          <w:lang w:val="en-GB"/>
        </w:rPr>
        <w:t xml:space="preserve"> </w:t>
      </w:r>
      <w:r w:rsidR="00CE0C0B" w:rsidRPr="00977873">
        <w:rPr>
          <w:rFonts w:cs="Arial"/>
          <w:b/>
          <w:bCs/>
          <w:lang w:val="en-GB"/>
        </w:rPr>
        <w:t>‘T</w:t>
      </w:r>
      <w:r w:rsidR="006F62F6" w:rsidRPr="00977873">
        <w:rPr>
          <w:rFonts w:cs="Arial"/>
          <w:b/>
          <w:bCs/>
          <w:lang w:val="en-GB"/>
        </w:rPr>
        <w:t>ransparency</w:t>
      </w:r>
      <w:r w:rsidR="00CE0C0B" w:rsidRPr="00977873">
        <w:rPr>
          <w:rFonts w:cs="Arial"/>
          <w:b/>
          <w:bCs/>
          <w:lang w:val="en-GB"/>
        </w:rPr>
        <w:t>’</w:t>
      </w:r>
      <w:r w:rsidR="006F62F6" w:rsidRPr="00FC1E5A">
        <w:rPr>
          <w:rFonts w:cs="Arial"/>
          <w:lang w:val="en-GB"/>
        </w:rPr>
        <w:t xml:space="preserve"> </w:t>
      </w:r>
      <w:r w:rsidR="005B06B4">
        <w:rPr>
          <w:rFonts w:cs="Arial"/>
          <w:lang w:val="en-GB"/>
        </w:rPr>
        <w:t xml:space="preserve">and </w:t>
      </w:r>
      <w:r w:rsidR="005B06B4" w:rsidRPr="005B06B4">
        <w:rPr>
          <w:rFonts w:cs="Arial"/>
          <w:b/>
          <w:bCs/>
          <w:lang w:val="en-GB"/>
        </w:rPr>
        <w:t>‘Engagement</w:t>
      </w:r>
      <w:r w:rsidR="005B06B4">
        <w:rPr>
          <w:rFonts w:cs="Arial"/>
          <w:b/>
          <w:bCs/>
          <w:lang w:val="en-GB"/>
        </w:rPr>
        <w:t>’</w:t>
      </w:r>
      <w:r w:rsidR="005B06B4">
        <w:rPr>
          <w:rFonts w:cs="Arial"/>
          <w:lang w:val="en-GB"/>
        </w:rPr>
        <w:t xml:space="preserve"> </w:t>
      </w:r>
      <w:r w:rsidR="0011630F">
        <w:rPr>
          <w:rFonts w:cs="Arial"/>
          <w:lang w:val="en-GB"/>
        </w:rPr>
        <w:t>dimension</w:t>
      </w:r>
      <w:r w:rsidR="005B06B4">
        <w:rPr>
          <w:rFonts w:cs="Arial"/>
          <w:lang w:val="en-GB"/>
        </w:rPr>
        <w:t>s</w:t>
      </w:r>
      <w:r w:rsidR="0011630F">
        <w:rPr>
          <w:rFonts w:cs="Arial"/>
          <w:lang w:val="en-GB"/>
        </w:rPr>
        <w:t xml:space="preserve"> </w:t>
      </w:r>
      <w:r w:rsidR="006F62F6" w:rsidRPr="00FC1E5A">
        <w:rPr>
          <w:rFonts w:cs="Arial"/>
          <w:lang w:val="en-GB"/>
        </w:rPr>
        <w:t xml:space="preserve">and </w:t>
      </w:r>
      <w:r w:rsidR="001274B2" w:rsidRPr="00977873">
        <w:rPr>
          <w:rFonts w:cs="Arial"/>
          <w:b/>
          <w:bCs/>
          <w:lang w:val="en-GB"/>
        </w:rPr>
        <w:t xml:space="preserve">worst </w:t>
      </w:r>
      <w:r w:rsidR="006F62F6" w:rsidRPr="00977873">
        <w:rPr>
          <w:rFonts w:cs="Arial"/>
          <w:b/>
          <w:bCs/>
          <w:lang w:val="en-GB"/>
        </w:rPr>
        <w:t>on</w:t>
      </w:r>
      <w:r w:rsidR="00C75935" w:rsidRPr="00977873">
        <w:rPr>
          <w:rFonts w:cs="Arial"/>
          <w:b/>
          <w:bCs/>
          <w:lang w:val="en-GB"/>
        </w:rPr>
        <w:t xml:space="preserve"> </w:t>
      </w:r>
      <w:r w:rsidR="00FC68B8" w:rsidRPr="00977873">
        <w:rPr>
          <w:rFonts w:cs="Arial"/>
          <w:b/>
          <w:bCs/>
          <w:lang w:val="en-GB"/>
        </w:rPr>
        <w:t xml:space="preserve">the </w:t>
      </w:r>
      <w:r w:rsidR="00160CE0" w:rsidRPr="00977873">
        <w:rPr>
          <w:rFonts w:cs="Arial"/>
          <w:b/>
          <w:bCs/>
          <w:lang w:val="en-GB"/>
        </w:rPr>
        <w:t>‘A</w:t>
      </w:r>
      <w:r w:rsidR="00C75935" w:rsidRPr="00977873">
        <w:rPr>
          <w:rFonts w:cs="Arial"/>
          <w:b/>
          <w:bCs/>
          <w:lang w:val="en-GB"/>
        </w:rPr>
        <w:t>mbition of fossil fuel exclusion or restriction policies</w:t>
      </w:r>
      <w:r w:rsidR="00B05FF4" w:rsidRPr="00977873">
        <w:rPr>
          <w:rFonts w:cs="Arial"/>
          <w:b/>
          <w:bCs/>
          <w:lang w:val="en-GB"/>
        </w:rPr>
        <w:t>’</w:t>
      </w:r>
      <w:r w:rsidR="0011630F">
        <w:rPr>
          <w:rFonts w:cs="Arial"/>
          <w:lang w:val="en-GB"/>
        </w:rPr>
        <w:t xml:space="preserve"> dimension.</w:t>
      </w:r>
    </w:p>
    <w:p w14:paraId="09A85038" w14:textId="7AE9296B" w:rsidR="00DB03F4" w:rsidRDefault="00F2623B" w:rsidP="00F51458">
      <w:pPr>
        <w:numPr>
          <w:ilvl w:val="0"/>
          <w:numId w:val="16"/>
        </w:numPr>
        <w:spacing w:after="120"/>
        <w:ind w:left="714" w:hanging="357"/>
        <w:rPr>
          <w:rFonts w:cs="Arial"/>
          <w:lang w:val="en-GB"/>
        </w:rPr>
      </w:pPr>
      <w:r w:rsidRPr="00FC1E5A">
        <w:rPr>
          <w:rFonts w:cs="Arial"/>
          <w:lang w:val="en-GB"/>
        </w:rPr>
        <w:t xml:space="preserve">The </w:t>
      </w:r>
      <w:r w:rsidR="002B183A">
        <w:rPr>
          <w:rFonts w:cs="Arial"/>
          <w:lang w:val="en-GB"/>
        </w:rPr>
        <w:t xml:space="preserve">officially reported </w:t>
      </w:r>
      <w:r w:rsidRPr="00EC285E">
        <w:rPr>
          <w:rFonts w:cs="Arial"/>
          <w:b/>
          <w:bCs/>
          <w:lang w:val="en-GB"/>
        </w:rPr>
        <w:t xml:space="preserve">share </w:t>
      </w:r>
      <w:r w:rsidR="001274B2" w:rsidRPr="00EC285E">
        <w:rPr>
          <w:rFonts w:cs="Arial"/>
          <w:b/>
          <w:bCs/>
          <w:lang w:val="en-GB"/>
        </w:rPr>
        <w:t>of fossil fuel</w:t>
      </w:r>
      <w:r w:rsidR="00185F20" w:rsidRPr="00EC285E">
        <w:rPr>
          <w:rFonts w:cs="Arial"/>
          <w:b/>
          <w:bCs/>
          <w:lang w:val="en-GB"/>
        </w:rPr>
        <w:t>-related</w:t>
      </w:r>
      <w:r w:rsidR="001274B2" w:rsidRPr="00EC285E">
        <w:rPr>
          <w:rFonts w:cs="Arial"/>
          <w:b/>
          <w:bCs/>
          <w:lang w:val="en-GB"/>
        </w:rPr>
        <w:t xml:space="preserve"> </w:t>
      </w:r>
      <w:r w:rsidR="00D46E18" w:rsidRPr="00EC285E">
        <w:rPr>
          <w:rFonts w:cs="Arial"/>
          <w:b/>
          <w:bCs/>
          <w:lang w:val="en-GB"/>
        </w:rPr>
        <w:t>activities</w:t>
      </w:r>
      <w:r w:rsidR="001274B2" w:rsidRPr="00FC1E5A">
        <w:rPr>
          <w:rFonts w:cs="Arial"/>
          <w:lang w:val="en-GB"/>
        </w:rPr>
        <w:t xml:space="preserve"> </w:t>
      </w:r>
      <w:r w:rsidR="003224FB">
        <w:rPr>
          <w:rFonts w:cs="Arial"/>
          <w:lang w:val="en-GB"/>
        </w:rPr>
        <w:t>stood at</w:t>
      </w:r>
      <w:r w:rsidR="005772F0" w:rsidRPr="00FC1E5A">
        <w:rPr>
          <w:rFonts w:cs="Arial"/>
          <w:lang w:val="en-GB"/>
        </w:rPr>
        <w:t xml:space="preserve"> </w:t>
      </w:r>
      <w:r w:rsidR="0006532B" w:rsidRPr="00FC1E5A">
        <w:rPr>
          <w:rFonts w:cs="Arial"/>
          <w:lang w:val="en-GB"/>
        </w:rPr>
        <w:t>26%</w:t>
      </w:r>
      <w:r w:rsidR="00C87A5F" w:rsidRPr="00C87A5F">
        <w:rPr>
          <w:rFonts w:cs="Arial"/>
          <w:lang w:val="en-GB"/>
        </w:rPr>
        <w:t xml:space="preserve"> </w:t>
      </w:r>
      <w:r w:rsidR="00C87A5F" w:rsidRPr="00FC1E5A">
        <w:rPr>
          <w:rFonts w:cs="Arial"/>
          <w:lang w:val="en-GB"/>
        </w:rPr>
        <w:t>over the total portfolio</w:t>
      </w:r>
      <w:r w:rsidR="005013F4">
        <w:rPr>
          <w:rFonts w:cs="Arial"/>
          <w:lang w:val="en-GB"/>
        </w:rPr>
        <w:t xml:space="preserve"> (</w:t>
      </w:r>
      <w:r w:rsidR="0006532B" w:rsidRPr="00FC1E5A">
        <w:rPr>
          <w:rFonts w:cs="Arial"/>
          <w:lang w:val="en-GB"/>
        </w:rPr>
        <w:t xml:space="preserve">or </w:t>
      </w:r>
      <w:r w:rsidR="001274B2" w:rsidRPr="00FC1E5A">
        <w:rPr>
          <w:rFonts w:cs="Arial"/>
          <w:lang w:val="en-GB"/>
        </w:rPr>
        <w:t xml:space="preserve">EUR </w:t>
      </w:r>
      <w:r w:rsidR="0006532B" w:rsidRPr="00FC1E5A">
        <w:rPr>
          <w:rFonts w:cs="Arial"/>
          <w:lang w:val="en-GB"/>
        </w:rPr>
        <w:t>4</w:t>
      </w:r>
      <w:r w:rsidR="001274B2" w:rsidRPr="00FC1E5A">
        <w:rPr>
          <w:rFonts w:cs="Arial"/>
          <w:lang w:val="en-GB"/>
        </w:rPr>
        <w:t>.</w:t>
      </w:r>
      <w:r w:rsidR="0006532B" w:rsidRPr="00FC1E5A">
        <w:rPr>
          <w:rFonts w:cs="Arial"/>
          <w:lang w:val="en-GB"/>
        </w:rPr>
        <w:t>81</w:t>
      </w:r>
      <w:r w:rsidR="001274B2" w:rsidRPr="00FC1E5A">
        <w:rPr>
          <w:rFonts w:cs="Arial"/>
          <w:lang w:val="en-GB"/>
        </w:rPr>
        <w:t xml:space="preserve"> b</w:t>
      </w:r>
      <w:r w:rsidR="00FB5332" w:rsidRPr="00FC1E5A">
        <w:rPr>
          <w:rFonts w:cs="Arial"/>
          <w:lang w:val="en-GB"/>
        </w:rPr>
        <w:t>illion</w:t>
      </w:r>
      <w:r w:rsidR="005013F4">
        <w:rPr>
          <w:rFonts w:cs="Arial"/>
          <w:lang w:val="en-GB"/>
        </w:rPr>
        <w:t>)</w:t>
      </w:r>
      <w:r w:rsidR="001274B2" w:rsidRPr="00FC1E5A">
        <w:rPr>
          <w:rFonts w:cs="Arial"/>
          <w:lang w:val="en-GB"/>
        </w:rPr>
        <w:t xml:space="preserve"> </w:t>
      </w:r>
      <w:r w:rsidR="00D46E18">
        <w:rPr>
          <w:rFonts w:cs="Arial"/>
          <w:lang w:val="en-GB"/>
        </w:rPr>
        <w:t xml:space="preserve">in terms of total </w:t>
      </w:r>
      <w:r w:rsidR="00A7361B">
        <w:rPr>
          <w:rFonts w:cs="Arial"/>
          <w:lang w:val="en-GB"/>
        </w:rPr>
        <w:t xml:space="preserve">cumulative volume </w:t>
      </w:r>
      <w:r w:rsidR="00D46E18">
        <w:rPr>
          <w:rFonts w:cs="Arial"/>
          <w:lang w:val="en-GB"/>
        </w:rPr>
        <w:t xml:space="preserve">insured </w:t>
      </w:r>
      <w:r w:rsidR="00A42748">
        <w:rPr>
          <w:rFonts w:cs="Arial"/>
          <w:lang w:val="en-GB"/>
        </w:rPr>
        <w:t>by the end of</w:t>
      </w:r>
      <w:r w:rsidR="001274B2" w:rsidRPr="00FC1E5A">
        <w:rPr>
          <w:rFonts w:cs="Arial"/>
          <w:lang w:val="en-GB"/>
        </w:rPr>
        <w:t xml:space="preserve"> 20</w:t>
      </w:r>
      <w:r w:rsidR="0006532B" w:rsidRPr="00FC1E5A">
        <w:rPr>
          <w:rFonts w:cs="Arial"/>
          <w:lang w:val="en-GB"/>
        </w:rPr>
        <w:t>20</w:t>
      </w:r>
      <w:r w:rsidR="001274B2" w:rsidRPr="00FC1E5A">
        <w:rPr>
          <w:rFonts w:cs="Arial"/>
          <w:lang w:val="en-GB"/>
        </w:rPr>
        <w:t xml:space="preserve"> </w:t>
      </w:r>
      <w:r w:rsidR="00716DA6" w:rsidRPr="00FC1E5A">
        <w:rPr>
          <w:rFonts w:cs="Arial"/>
          <w:lang w:val="en-GB"/>
        </w:rPr>
        <w:t xml:space="preserve">according to </w:t>
      </w:r>
      <w:r w:rsidR="004C3D51">
        <w:rPr>
          <w:rFonts w:cs="Arial"/>
          <w:lang w:val="en-GB"/>
        </w:rPr>
        <w:t xml:space="preserve">Atradius DSB´s </w:t>
      </w:r>
      <w:r w:rsidR="00F93B84">
        <w:rPr>
          <w:rFonts w:cs="Arial"/>
          <w:lang w:val="en-GB"/>
        </w:rPr>
        <w:t>own</w:t>
      </w:r>
      <w:r w:rsidR="00716DA6" w:rsidRPr="00FC1E5A">
        <w:rPr>
          <w:rFonts w:cs="Arial"/>
          <w:lang w:val="en-GB"/>
        </w:rPr>
        <w:t xml:space="preserve"> </w:t>
      </w:r>
      <w:r w:rsidR="00E136A6">
        <w:rPr>
          <w:rFonts w:cs="Arial"/>
          <w:lang w:val="en-GB"/>
        </w:rPr>
        <w:t>‘</w:t>
      </w:r>
      <w:r w:rsidR="00757C7A">
        <w:rPr>
          <w:rFonts w:cs="Arial"/>
          <w:lang w:val="en-GB"/>
        </w:rPr>
        <w:t>fossil fuel</w:t>
      </w:r>
      <w:r w:rsidR="00CF4F1D">
        <w:rPr>
          <w:rFonts w:cs="Arial"/>
          <w:lang w:val="en-GB"/>
        </w:rPr>
        <w:t xml:space="preserve"> measurement</w:t>
      </w:r>
      <w:r w:rsidR="00757C7A">
        <w:rPr>
          <w:rFonts w:cs="Arial"/>
          <w:lang w:val="en-GB"/>
        </w:rPr>
        <w:t>’</w:t>
      </w:r>
      <w:r w:rsidR="00E136A6">
        <w:rPr>
          <w:rFonts w:cs="Arial"/>
          <w:lang w:val="en-GB"/>
        </w:rPr>
        <w:t xml:space="preserve"> </w:t>
      </w:r>
      <w:r w:rsidR="00683074" w:rsidRPr="00FC1E5A">
        <w:rPr>
          <w:rFonts w:cs="Arial"/>
          <w:lang w:val="en-GB"/>
        </w:rPr>
        <w:t>methodology</w:t>
      </w:r>
      <w:r w:rsidR="001274B2" w:rsidRPr="00FC1E5A">
        <w:rPr>
          <w:rFonts w:cs="Arial"/>
          <w:lang w:val="en-GB"/>
        </w:rPr>
        <w:t xml:space="preserve">. </w:t>
      </w:r>
      <w:r w:rsidR="00DD226C" w:rsidRPr="00FC1E5A">
        <w:rPr>
          <w:rFonts w:cs="Arial"/>
          <w:lang w:val="en-GB"/>
        </w:rPr>
        <w:t>Most of</w:t>
      </w:r>
      <w:r w:rsidR="004634D4" w:rsidRPr="00FC1E5A">
        <w:rPr>
          <w:rFonts w:cs="Arial"/>
          <w:lang w:val="en-GB"/>
        </w:rPr>
        <w:t xml:space="preserve"> </w:t>
      </w:r>
      <w:r w:rsidR="0011630F">
        <w:rPr>
          <w:rFonts w:cs="Arial"/>
          <w:lang w:val="en-GB"/>
        </w:rPr>
        <w:t xml:space="preserve">this amount </w:t>
      </w:r>
      <w:r w:rsidR="001274B2" w:rsidRPr="00FC1E5A">
        <w:rPr>
          <w:rFonts w:cs="Arial"/>
          <w:lang w:val="en-GB"/>
        </w:rPr>
        <w:t xml:space="preserve">related to </w:t>
      </w:r>
      <w:r w:rsidR="00496180" w:rsidRPr="00EC285E">
        <w:rPr>
          <w:rFonts w:cs="Arial"/>
          <w:b/>
          <w:bCs/>
          <w:lang w:val="en-GB"/>
        </w:rPr>
        <w:t xml:space="preserve">upstream </w:t>
      </w:r>
      <w:r w:rsidR="001274B2" w:rsidRPr="00EC285E">
        <w:rPr>
          <w:rFonts w:cs="Arial"/>
          <w:b/>
          <w:bCs/>
          <w:lang w:val="en-GB"/>
        </w:rPr>
        <w:t xml:space="preserve">oil </w:t>
      </w:r>
      <w:r w:rsidR="00F93B84" w:rsidRPr="00EC285E">
        <w:rPr>
          <w:rFonts w:cs="Arial"/>
          <w:b/>
          <w:bCs/>
          <w:lang w:val="en-GB"/>
        </w:rPr>
        <w:t>and</w:t>
      </w:r>
      <w:r w:rsidR="001274B2" w:rsidRPr="00EC285E">
        <w:rPr>
          <w:rFonts w:cs="Arial"/>
          <w:b/>
          <w:bCs/>
          <w:lang w:val="en-GB"/>
        </w:rPr>
        <w:t xml:space="preserve"> gas</w:t>
      </w:r>
      <w:r w:rsidR="004634D4" w:rsidRPr="00FC1E5A">
        <w:rPr>
          <w:rFonts w:cs="Arial"/>
          <w:lang w:val="en-GB"/>
        </w:rPr>
        <w:t xml:space="preserve"> value chains</w:t>
      </w:r>
      <w:r w:rsidR="001274B2" w:rsidRPr="00FC1E5A">
        <w:rPr>
          <w:rFonts w:cs="Arial"/>
          <w:lang w:val="en-GB"/>
        </w:rPr>
        <w:t xml:space="preserve">. </w:t>
      </w:r>
      <w:r w:rsidR="004D0F3D">
        <w:rPr>
          <w:rFonts w:cs="Arial"/>
          <w:lang w:val="en-GB"/>
        </w:rPr>
        <w:t xml:space="preserve">However, alternative estimates </w:t>
      </w:r>
      <w:r w:rsidR="00E87895">
        <w:rPr>
          <w:rFonts w:cs="Arial"/>
          <w:lang w:val="en-GB"/>
        </w:rPr>
        <w:t xml:space="preserve">by independent observers </w:t>
      </w:r>
      <w:r w:rsidR="004D0F3D">
        <w:rPr>
          <w:rFonts w:cs="Arial"/>
          <w:lang w:val="en-GB"/>
        </w:rPr>
        <w:t xml:space="preserve">and </w:t>
      </w:r>
      <w:r w:rsidR="00E87895">
        <w:rPr>
          <w:rFonts w:cs="Arial"/>
          <w:lang w:val="en-GB"/>
        </w:rPr>
        <w:t xml:space="preserve">several </w:t>
      </w:r>
      <w:r w:rsidR="004D0F3D">
        <w:rPr>
          <w:rFonts w:cs="Arial"/>
          <w:lang w:val="en-GB"/>
        </w:rPr>
        <w:t>caveats with the</w:t>
      </w:r>
      <w:r w:rsidR="004925C1">
        <w:rPr>
          <w:rFonts w:cs="Arial"/>
          <w:lang w:val="en-GB"/>
        </w:rPr>
        <w:t xml:space="preserve"> fossil fuel</w:t>
      </w:r>
      <w:r w:rsidR="004D0F3D">
        <w:rPr>
          <w:rFonts w:cs="Arial"/>
          <w:lang w:val="en-GB"/>
        </w:rPr>
        <w:t xml:space="preserve"> measurement methodology exist</w:t>
      </w:r>
      <w:r w:rsidR="008B0E33">
        <w:rPr>
          <w:rFonts w:cs="Arial"/>
          <w:lang w:val="en-GB"/>
        </w:rPr>
        <w:t>.</w:t>
      </w:r>
      <w:r w:rsidR="004D0F3D">
        <w:rPr>
          <w:rFonts w:cs="Arial"/>
          <w:lang w:val="en-GB"/>
        </w:rPr>
        <w:t xml:space="preserve"> </w:t>
      </w:r>
    </w:p>
    <w:p w14:paraId="191A3768" w14:textId="77777777" w:rsidR="001274B2" w:rsidRPr="00FC1E5A" w:rsidRDefault="00AA433E" w:rsidP="00F51458">
      <w:pPr>
        <w:numPr>
          <w:ilvl w:val="0"/>
          <w:numId w:val="16"/>
        </w:numPr>
        <w:spacing w:after="120"/>
        <w:ind w:left="714" w:hanging="357"/>
        <w:rPr>
          <w:rFonts w:cs="Arial"/>
          <w:lang w:val="en-GB"/>
        </w:rPr>
      </w:pPr>
      <w:r>
        <w:rPr>
          <w:rFonts w:cs="Arial"/>
          <w:lang w:val="en-GB"/>
        </w:rPr>
        <w:t xml:space="preserve">The </w:t>
      </w:r>
      <w:r w:rsidRPr="00EC285E">
        <w:rPr>
          <w:rFonts w:cs="Arial"/>
          <w:b/>
          <w:bCs/>
          <w:lang w:val="en-GB"/>
        </w:rPr>
        <w:t xml:space="preserve">share of </w:t>
      </w:r>
      <w:r w:rsidR="005A441F" w:rsidRPr="00EC285E">
        <w:rPr>
          <w:rFonts w:cs="Arial"/>
          <w:b/>
          <w:bCs/>
          <w:lang w:val="en-GB"/>
        </w:rPr>
        <w:t xml:space="preserve">‘green’ </w:t>
      </w:r>
      <w:r w:rsidRPr="00EC285E">
        <w:rPr>
          <w:rFonts w:cs="Arial"/>
          <w:b/>
          <w:bCs/>
          <w:lang w:val="en-GB"/>
        </w:rPr>
        <w:t>activities</w:t>
      </w:r>
      <w:r>
        <w:rPr>
          <w:rFonts w:cs="Arial"/>
          <w:lang w:val="en-GB"/>
        </w:rPr>
        <w:t xml:space="preserve"> labelled</w:t>
      </w:r>
      <w:r w:rsidR="005A441F">
        <w:rPr>
          <w:rFonts w:cs="Arial"/>
          <w:lang w:val="en-GB"/>
        </w:rPr>
        <w:t xml:space="preserve"> </w:t>
      </w:r>
      <w:r w:rsidR="005A441F" w:rsidRPr="00FC1E5A">
        <w:rPr>
          <w:rFonts w:cs="Arial"/>
          <w:lang w:val="en-GB"/>
        </w:rPr>
        <w:t xml:space="preserve">according to </w:t>
      </w:r>
      <w:r w:rsidR="005A441F">
        <w:rPr>
          <w:rFonts w:cs="Arial"/>
          <w:lang w:val="en-GB"/>
        </w:rPr>
        <w:t>its own</w:t>
      </w:r>
      <w:r w:rsidR="005A441F" w:rsidRPr="00FC1E5A">
        <w:rPr>
          <w:rFonts w:cs="Arial"/>
          <w:lang w:val="en-GB"/>
        </w:rPr>
        <w:t xml:space="preserve"> ‘</w:t>
      </w:r>
      <w:r w:rsidR="005A441F">
        <w:rPr>
          <w:rFonts w:cs="Arial"/>
          <w:lang w:val="en-GB"/>
        </w:rPr>
        <w:t>Green Label’</w:t>
      </w:r>
      <w:r w:rsidR="005A441F" w:rsidRPr="00FC1E5A">
        <w:rPr>
          <w:rFonts w:cs="Arial"/>
          <w:lang w:val="en-GB"/>
        </w:rPr>
        <w:t xml:space="preserve"> methodology</w:t>
      </w:r>
      <w:r>
        <w:rPr>
          <w:rFonts w:cs="Arial"/>
          <w:lang w:val="en-GB"/>
        </w:rPr>
        <w:t xml:space="preserve"> </w:t>
      </w:r>
      <w:r w:rsidR="00F93B84">
        <w:rPr>
          <w:rFonts w:cs="Arial"/>
          <w:lang w:val="en-GB"/>
        </w:rPr>
        <w:t xml:space="preserve">was </w:t>
      </w:r>
      <w:r>
        <w:rPr>
          <w:rFonts w:cs="Arial"/>
          <w:lang w:val="en-GB"/>
        </w:rPr>
        <w:t xml:space="preserve">at the same time reported to stand at </w:t>
      </w:r>
      <w:r w:rsidR="00E772F4" w:rsidRPr="00FC1E5A">
        <w:rPr>
          <w:rFonts w:cs="Arial"/>
          <w:lang w:val="en-GB"/>
        </w:rPr>
        <w:t>49%</w:t>
      </w:r>
      <w:r w:rsidR="005A441F">
        <w:rPr>
          <w:rFonts w:cs="Arial"/>
          <w:lang w:val="en-GB"/>
        </w:rPr>
        <w:t xml:space="preserve">. However, this share refers to </w:t>
      </w:r>
      <w:r w:rsidR="007D2CFA" w:rsidRPr="00FC1E5A">
        <w:rPr>
          <w:rFonts w:cs="Arial"/>
          <w:lang w:val="en-GB"/>
        </w:rPr>
        <w:t xml:space="preserve">the </w:t>
      </w:r>
      <w:r w:rsidR="00E772F4" w:rsidRPr="00FC1E5A">
        <w:rPr>
          <w:rFonts w:cs="Arial"/>
          <w:lang w:val="en-GB"/>
        </w:rPr>
        <w:t>volume of new transactions</w:t>
      </w:r>
      <w:r w:rsidR="00E136A6" w:rsidRPr="00E136A6">
        <w:rPr>
          <w:rFonts w:cs="Arial"/>
          <w:lang w:val="en-GB"/>
        </w:rPr>
        <w:t xml:space="preserve"> </w:t>
      </w:r>
      <w:r w:rsidR="00E136A6" w:rsidRPr="00FC1E5A">
        <w:rPr>
          <w:rFonts w:cs="Arial"/>
          <w:lang w:val="en-GB"/>
        </w:rPr>
        <w:t>in</w:t>
      </w:r>
      <w:r w:rsidR="008913EE">
        <w:rPr>
          <w:rFonts w:cs="Arial"/>
          <w:lang w:val="en-GB"/>
        </w:rPr>
        <w:t>sured in</w:t>
      </w:r>
      <w:r w:rsidR="00E136A6" w:rsidRPr="00FC1E5A">
        <w:rPr>
          <w:rFonts w:cs="Arial"/>
          <w:lang w:val="en-GB"/>
        </w:rPr>
        <w:t xml:space="preserve"> 2020</w:t>
      </w:r>
      <w:r w:rsidR="008913EE">
        <w:rPr>
          <w:rFonts w:cs="Arial"/>
          <w:lang w:val="en-GB"/>
        </w:rPr>
        <w:t xml:space="preserve"> and is therefore not</w:t>
      </w:r>
      <w:r w:rsidR="002C265E">
        <w:rPr>
          <w:rFonts w:cs="Arial"/>
          <w:lang w:val="en-GB"/>
        </w:rPr>
        <w:t xml:space="preserve"> directly comparable to the fossil fuel estimate.</w:t>
      </w:r>
      <w:r w:rsidR="00747DA7">
        <w:rPr>
          <w:rFonts w:cs="Arial"/>
          <w:lang w:val="en-GB"/>
        </w:rPr>
        <w:t xml:space="preserve"> </w:t>
      </w:r>
      <w:r w:rsidR="00FC68B8">
        <w:rPr>
          <w:rFonts w:cs="Arial"/>
          <w:lang w:val="en-GB"/>
        </w:rPr>
        <w:t>Moreover, t</w:t>
      </w:r>
      <w:r w:rsidR="00645CE8">
        <w:rPr>
          <w:rFonts w:cs="Arial"/>
          <w:lang w:val="en-GB"/>
        </w:rPr>
        <w:t xml:space="preserve">he ‘Green Label’ methodology </w:t>
      </w:r>
      <w:r w:rsidR="00FC68B8">
        <w:rPr>
          <w:rFonts w:cs="Arial"/>
          <w:lang w:val="en-GB"/>
        </w:rPr>
        <w:t>does not</w:t>
      </w:r>
      <w:r w:rsidR="00645CE8">
        <w:rPr>
          <w:rFonts w:cs="Arial"/>
          <w:lang w:val="en-GB"/>
        </w:rPr>
        <w:t xml:space="preserve"> correspond to the EU </w:t>
      </w:r>
      <w:r w:rsidR="00FC68B8">
        <w:rPr>
          <w:rFonts w:cs="Arial"/>
          <w:lang w:val="en-GB"/>
        </w:rPr>
        <w:t>T</w:t>
      </w:r>
      <w:r w:rsidR="00645CE8">
        <w:rPr>
          <w:rFonts w:cs="Arial"/>
          <w:lang w:val="en-GB"/>
        </w:rPr>
        <w:t>axonomy on Sustainable Finance.</w:t>
      </w:r>
    </w:p>
    <w:p w14:paraId="1DCC5A10" w14:textId="765E0A24" w:rsidR="00356B3C" w:rsidRPr="00FC1E5A" w:rsidRDefault="008508DA" w:rsidP="00F51458">
      <w:pPr>
        <w:numPr>
          <w:ilvl w:val="0"/>
          <w:numId w:val="16"/>
        </w:numPr>
        <w:spacing w:after="120"/>
        <w:ind w:left="714" w:hanging="357"/>
        <w:rPr>
          <w:rFonts w:cs="Arial"/>
          <w:lang w:val="en-GB"/>
        </w:rPr>
      </w:pPr>
      <w:r>
        <w:rPr>
          <w:rFonts w:cs="Arial"/>
          <w:lang w:val="en-GB"/>
        </w:rPr>
        <w:t xml:space="preserve">The Dutch government </w:t>
      </w:r>
      <w:r w:rsidR="00460FCC" w:rsidRPr="00EC285E">
        <w:rPr>
          <w:rFonts w:cs="Arial"/>
          <w:b/>
          <w:bCs/>
          <w:lang w:val="en-GB"/>
        </w:rPr>
        <w:t>has</w:t>
      </w:r>
      <w:r w:rsidR="00FC68B8">
        <w:rPr>
          <w:rFonts w:cs="Arial"/>
          <w:b/>
          <w:bCs/>
          <w:lang w:val="en-GB"/>
        </w:rPr>
        <w:t xml:space="preserve"> </w:t>
      </w:r>
      <w:r w:rsidR="00460FCC" w:rsidRPr="00EC285E">
        <w:rPr>
          <w:rFonts w:cs="Arial"/>
          <w:b/>
          <w:bCs/>
          <w:lang w:val="en-GB"/>
        </w:rPr>
        <w:t>n</w:t>
      </w:r>
      <w:r w:rsidR="00FC68B8">
        <w:rPr>
          <w:rFonts w:cs="Arial"/>
          <w:b/>
          <w:bCs/>
          <w:lang w:val="en-GB"/>
        </w:rPr>
        <w:t>o</w:t>
      </w:r>
      <w:r w:rsidR="00460FCC" w:rsidRPr="00EC285E">
        <w:rPr>
          <w:rFonts w:cs="Arial"/>
          <w:b/>
          <w:bCs/>
          <w:lang w:val="en-GB"/>
        </w:rPr>
        <w:t xml:space="preserve">t </w:t>
      </w:r>
      <w:r w:rsidR="00AF5FA8" w:rsidRPr="00EC285E">
        <w:rPr>
          <w:rFonts w:cs="Arial"/>
          <w:b/>
          <w:bCs/>
          <w:lang w:val="en-GB"/>
        </w:rPr>
        <w:t xml:space="preserve">formalized policies </w:t>
      </w:r>
      <w:r w:rsidR="0046580A" w:rsidRPr="00EC285E">
        <w:rPr>
          <w:rFonts w:cs="Arial"/>
          <w:b/>
          <w:bCs/>
          <w:lang w:val="en-GB"/>
        </w:rPr>
        <w:t xml:space="preserve">to exclude or restrict </w:t>
      </w:r>
      <w:r w:rsidR="00F93B84" w:rsidRPr="00EC285E">
        <w:rPr>
          <w:rFonts w:cs="Arial"/>
          <w:b/>
          <w:bCs/>
          <w:lang w:val="en-GB"/>
        </w:rPr>
        <w:t xml:space="preserve">support to </w:t>
      </w:r>
      <w:r w:rsidR="0046580A" w:rsidRPr="00EC285E">
        <w:rPr>
          <w:rFonts w:cs="Arial"/>
          <w:b/>
          <w:bCs/>
          <w:lang w:val="en-GB"/>
        </w:rPr>
        <w:t>coal, oil and gas</w:t>
      </w:r>
      <w:r w:rsidR="00F93B84" w:rsidRPr="00EC285E">
        <w:rPr>
          <w:rFonts w:cs="Arial"/>
          <w:b/>
          <w:bCs/>
          <w:lang w:val="en-GB"/>
        </w:rPr>
        <w:t xml:space="preserve"> value chains</w:t>
      </w:r>
      <w:r w:rsidR="0046580A" w:rsidRPr="00FC1E5A">
        <w:rPr>
          <w:rFonts w:cs="Arial"/>
          <w:lang w:val="en-GB"/>
        </w:rPr>
        <w:t xml:space="preserve"> </w:t>
      </w:r>
      <w:r>
        <w:rPr>
          <w:rFonts w:cs="Arial"/>
          <w:lang w:val="en-GB"/>
        </w:rPr>
        <w:t xml:space="preserve">for Atradius DSB </w:t>
      </w:r>
      <w:r w:rsidR="0046580A" w:rsidRPr="00D20BA8">
        <w:rPr>
          <w:rFonts w:cs="Arial"/>
          <w:lang w:val="en-GB"/>
        </w:rPr>
        <w:t xml:space="preserve">despite </w:t>
      </w:r>
      <w:r w:rsidR="00FA50DE" w:rsidRPr="00D20BA8">
        <w:rPr>
          <w:rFonts w:cs="Arial"/>
          <w:lang w:val="en-GB"/>
        </w:rPr>
        <w:t>commitments</w:t>
      </w:r>
      <w:r w:rsidR="0046580A" w:rsidRPr="00D20BA8">
        <w:rPr>
          <w:rFonts w:cs="Arial"/>
          <w:lang w:val="en-GB"/>
        </w:rPr>
        <w:t xml:space="preserve"> made by high-</w:t>
      </w:r>
      <w:r w:rsidR="00FC68B8" w:rsidRPr="00D20BA8">
        <w:rPr>
          <w:rFonts w:cs="Arial"/>
          <w:lang w:val="en-GB"/>
        </w:rPr>
        <w:t xml:space="preserve">level </w:t>
      </w:r>
      <w:r w:rsidR="0046580A" w:rsidRPr="00D20BA8">
        <w:rPr>
          <w:rFonts w:cs="Arial"/>
          <w:lang w:val="en-GB"/>
        </w:rPr>
        <w:t>government officials.</w:t>
      </w:r>
      <w:r w:rsidR="00356B3C" w:rsidRPr="00FC1E5A">
        <w:rPr>
          <w:rFonts w:cs="Arial"/>
          <w:lang w:val="en-GB"/>
        </w:rPr>
        <w:t xml:space="preserve"> However, t</w:t>
      </w:r>
      <w:r w:rsidR="001274B2" w:rsidRPr="00FC1E5A">
        <w:rPr>
          <w:rFonts w:cs="Arial"/>
          <w:lang w:val="en-GB"/>
        </w:rPr>
        <w:t xml:space="preserve">he </w:t>
      </w:r>
      <w:r w:rsidR="00F93B84">
        <w:rPr>
          <w:rFonts w:cs="Arial"/>
          <w:lang w:val="en-GB"/>
        </w:rPr>
        <w:t xml:space="preserve">Dutch </w:t>
      </w:r>
      <w:r w:rsidR="00E2609D">
        <w:rPr>
          <w:rFonts w:cs="Arial"/>
          <w:lang w:val="en-GB"/>
        </w:rPr>
        <w:t>government</w:t>
      </w:r>
      <w:r w:rsidR="00E2609D" w:rsidRPr="00FC1E5A">
        <w:rPr>
          <w:rFonts w:cs="Arial"/>
          <w:lang w:val="en-GB"/>
        </w:rPr>
        <w:t xml:space="preserve"> </w:t>
      </w:r>
      <w:r w:rsidR="00356B3C" w:rsidRPr="00FC1E5A">
        <w:rPr>
          <w:rFonts w:cs="Arial"/>
          <w:lang w:val="en-GB"/>
        </w:rPr>
        <w:t xml:space="preserve">committed to </w:t>
      </w:r>
      <w:r w:rsidR="0033446C" w:rsidRPr="00FC1E5A">
        <w:rPr>
          <w:rFonts w:cs="Arial"/>
          <w:lang w:val="en-GB"/>
        </w:rPr>
        <w:t xml:space="preserve">assessing </w:t>
      </w:r>
      <w:r w:rsidR="0033446C" w:rsidRPr="00D675D1">
        <w:rPr>
          <w:rFonts w:cs="Arial"/>
          <w:iCs/>
          <w:lang w:val="en-GB"/>
        </w:rPr>
        <w:t xml:space="preserve">how to best phase out support </w:t>
      </w:r>
      <w:r w:rsidR="00514B03">
        <w:rPr>
          <w:rFonts w:cs="Arial"/>
          <w:iCs/>
          <w:lang w:val="en-GB"/>
        </w:rPr>
        <w:t>for</w:t>
      </w:r>
      <w:r w:rsidR="00514B03" w:rsidRPr="00D675D1">
        <w:rPr>
          <w:rFonts w:cs="Arial"/>
          <w:iCs/>
          <w:lang w:val="en-GB"/>
        </w:rPr>
        <w:t xml:space="preserve"> </w:t>
      </w:r>
      <w:r w:rsidR="0033446C" w:rsidRPr="00D675D1">
        <w:rPr>
          <w:rFonts w:cs="Arial"/>
          <w:iCs/>
          <w:lang w:val="en-GB"/>
        </w:rPr>
        <w:t>these sectors</w:t>
      </w:r>
      <w:r w:rsidR="0033446C" w:rsidRPr="001C66A0">
        <w:rPr>
          <w:rFonts w:cs="Arial"/>
          <w:i/>
          <w:iCs/>
          <w:lang w:val="en-GB"/>
        </w:rPr>
        <w:t xml:space="preserve"> </w:t>
      </w:r>
      <w:r w:rsidR="00D01784" w:rsidRPr="00FC1E5A">
        <w:rPr>
          <w:rFonts w:cs="Arial"/>
          <w:lang w:val="en-GB"/>
        </w:rPr>
        <w:t>as part of its active participation under the Export Finance for Future (E3F) initiative</w:t>
      </w:r>
      <w:r w:rsidR="00DE4862">
        <w:rPr>
          <w:rFonts w:cs="Arial"/>
          <w:lang w:val="en-GB"/>
        </w:rPr>
        <w:t xml:space="preserve"> and according to other official statements</w:t>
      </w:r>
      <w:r w:rsidR="00F93B84">
        <w:rPr>
          <w:rFonts w:cs="Arial"/>
          <w:lang w:val="en-GB"/>
        </w:rPr>
        <w:t>.</w:t>
      </w:r>
      <w:r w:rsidR="00D20BA8">
        <w:rPr>
          <w:rFonts w:cs="Arial"/>
          <w:lang w:val="en-GB"/>
        </w:rPr>
        <w:t xml:space="preserve"> </w:t>
      </w:r>
      <w:r w:rsidR="00875B78">
        <w:rPr>
          <w:rFonts w:cs="Arial"/>
          <w:lang w:val="en-GB"/>
        </w:rPr>
        <w:t>The current interim government has left the decision of how and when to phase out support for fossil fuels to the next government.</w:t>
      </w:r>
    </w:p>
    <w:p w14:paraId="43A7E404" w14:textId="00A16DDA" w:rsidR="000B45AD" w:rsidRPr="00FC1E5A" w:rsidRDefault="000B45AD" w:rsidP="00F51458">
      <w:pPr>
        <w:numPr>
          <w:ilvl w:val="0"/>
          <w:numId w:val="16"/>
        </w:numPr>
        <w:spacing w:after="120"/>
        <w:ind w:left="714" w:hanging="357"/>
        <w:rPr>
          <w:rFonts w:cs="Arial"/>
          <w:lang w:val="en-GB"/>
        </w:rPr>
      </w:pPr>
      <w:r w:rsidRPr="00FC1E5A">
        <w:rPr>
          <w:rFonts w:cs="Arial"/>
          <w:lang w:val="en-GB"/>
        </w:rPr>
        <w:t xml:space="preserve">In the same year </w:t>
      </w:r>
      <w:r w:rsidR="00A363B5" w:rsidRPr="00FC1E5A">
        <w:rPr>
          <w:rFonts w:cs="Arial"/>
          <w:lang w:val="en-GB"/>
        </w:rPr>
        <w:t xml:space="preserve">of </w:t>
      </w:r>
      <w:r w:rsidR="00460FCC">
        <w:rPr>
          <w:rFonts w:cs="Arial"/>
          <w:lang w:val="en-GB"/>
        </w:rPr>
        <w:t>committing to</w:t>
      </w:r>
      <w:r w:rsidR="00460FCC" w:rsidRPr="00FC1E5A">
        <w:rPr>
          <w:rFonts w:cs="Arial"/>
          <w:lang w:val="en-GB"/>
        </w:rPr>
        <w:t xml:space="preserve"> the E3F initiative</w:t>
      </w:r>
      <w:r w:rsidR="00460FCC">
        <w:rPr>
          <w:rFonts w:cs="Arial"/>
          <w:lang w:val="en-GB"/>
        </w:rPr>
        <w:t xml:space="preserve"> objectives</w:t>
      </w:r>
      <w:r w:rsidR="00A363B5" w:rsidRPr="00FC1E5A">
        <w:rPr>
          <w:rFonts w:cs="Arial"/>
          <w:lang w:val="en-GB"/>
        </w:rPr>
        <w:t xml:space="preserve">, Atradius DSB </w:t>
      </w:r>
      <w:r w:rsidR="00B412C8" w:rsidRPr="00FC1E5A">
        <w:rPr>
          <w:rFonts w:cs="Arial"/>
          <w:lang w:val="en-GB"/>
        </w:rPr>
        <w:t>insure</w:t>
      </w:r>
      <w:r w:rsidR="00F93B84">
        <w:rPr>
          <w:rFonts w:cs="Arial"/>
          <w:lang w:val="en-GB"/>
        </w:rPr>
        <w:t>d</w:t>
      </w:r>
      <w:r w:rsidR="00B412C8" w:rsidRPr="00FC1E5A">
        <w:rPr>
          <w:rFonts w:cs="Arial"/>
          <w:lang w:val="en-GB"/>
        </w:rPr>
        <w:t xml:space="preserve"> a </w:t>
      </w:r>
      <w:r w:rsidR="00CE79E1" w:rsidRPr="00FC1E5A">
        <w:rPr>
          <w:rFonts w:cs="Arial"/>
          <w:lang w:val="en-GB"/>
        </w:rPr>
        <w:t xml:space="preserve">Dutch dredging company </w:t>
      </w:r>
      <w:r w:rsidR="00B412C8" w:rsidRPr="00FC1E5A">
        <w:rPr>
          <w:rFonts w:cs="Arial"/>
          <w:lang w:val="en-GB"/>
        </w:rPr>
        <w:t>for a maximum amount of</w:t>
      </w:r>
      <w:r w:rsidR="00806332">
        <w:rPr>
          <w:rFonts w:cs="Arial"/>
          <w:lang w:val="en-GB"/>
        </w:rPr>
        <w:t xml:space="preserve"> over</w:t>
      </w:r>
      <w:r w:rsidR="00B412C8" w:rsidRPr="00FC1E5A">
        <w:rPr>
          <w:rFonts w:cs="Arial"/>
          <w:lang w:val="en-GB"/>
        </w:rPr>
        <w:t xml:space="preserve"> US$ 1 billion </w:t>
      </w:r>
      <w:r w:rsidR="00CE79E1" w:rsidRPr="00FC1E5A">
        <w:rPr>
          <w:rFonts w:cs="Arial"/>
          <w:lang w:val="en-GB"/>
        </w:rPr>
        <w:t>supporting a</w:t>
      </w:r>
      <w:r w:rsidR="00F93B84">
        <w:rPr>
          <w:rFonts w:cs="Arial"/>
          <w:lang w:val="en-GB"/>
        </w:rPr>
        <w:t xml:space="preserve"> </w:t>
      </w:r>
      <w:r w:rsidR="00F93B84" w:rsidRPr="00EC285E">
        <w:rPr>
          <w:rFonts w:cs="Arial"/>
          <w:b/>
          <w:bCs/>
          <w:lang w:val="en-GB"/>
        </w:rPr>
        <w:t>controversial</w:t>
      </w:r>
      <w:r w:rsidR="00CE79E1" w:rsidRPr="00EC285E">
        <w:rPr>
          <w:rFonts w:cs="Arial"/>
          <w:b/>
          <w:bCs/>
          <w:lang w:val="en-GB"/>
        </w:rPr>
        <w:t xml:space="preserve"> offshore</w:t>
      </w:r>
      <w:r w:rsidR="00F93B84" w:rsidRPr="00EC285E">
        <w:rPr>
          <w:rFonts w:cs="Arial"/>
          <w:b/>
          <w:bCs/>
          <w:lang w:val="en-GB"/>
        </w:rPr>
        <w:t xml:space="preserve"> natural</w:t>
      </w:r>
      <w:r w:rsidR="00CE79E1" w:rsidRPr="00EC285E">
        <w:rPr>
          <w:rFonts w:cs="Arial"/>
          <w:b/>
          <w:bCs/>
          <w:lang w:val="en-GB"/>
        </w:rPr>
        <w:t xml:space="preserve"> gas project in Mozambique</w:t>
      </w:r>
      <w:r w:rsidR="003E5971">
        <w:rPr>
          <w:rFonts w:cs="Arial"/>
          <w:lang w:val="en-GB"/>
        </w:rPr>
        <w:t xml:space="preserve"> which epitomizes the </w:t>
      </w:r>
      <w:r w:rsidR="00AB7B79">
        <w:rPr>
          <w:rFonts w:cs="Arial"/>
          <w:lang w:val="en-GB"/>
        </w:rPr>
        <w:t>discrepancy between increased transparency</w:t>
      </w:r>
      <w:r w:rsidR="006C6151">
        <w:rPr>
          <w:rFonts w:cs="Arial"/>
          <w:lang w:val="en-GB"/>
        </w:rPr>
        <w:t xml:space="preserve"> about fossil fuel and climate finance</w:t>
      </w:r>
      <w:r w:rsidR="003E5971">
        <w:rPr>
          <w:rFonts w:cs="Arial"/>
          <w:lang w:val="en-GB"/>
        </w:rPr>
        <w:t xml:space="preserve"> on the one side and </w:t>
      </w:r>
      <w:r w:rsidR="00F93B84">
        <w:rPr>
          <w:rFonts w:cs="Arial"/>
          <w:lang w:val="en-GB"/>
        </w:rPr>
        <w:t xml:space="preserve">continued </w:t>
      </w:r>
      <w:r w:rsidR="003E5971">
        <w:rPr>
          <w:rFonts w:cs="Arial"/>
          <w:lang w:val="en-GB"/>
        </w:rPr>
        <w:t>climate-adversity on the other side</w:t>
      </w:r>
      <w:r w:rsidR="00F93B84">
        <w:rPr>
          <w:rFonts w:cs="Arial"/>
          <w:lang w:val="en-GB"/>
        </w:rPr>
        <w:t>.</w:t>
      </w:r>
    </w:p>
    <w:p w14:paraId="1AE33CE1" w14:textId="61D0742E" w:rsidR="00AA671F" w:rsidRPr="00BC5C87" w:rsidRDefault="00CD60EE" w:rsidP="008B7778">
      <w:pPr>
        <w:numPr>
          <w:ilvl w:val="0"/>
          <w:numId w:val="48"/>
        </w:numPr>
        <w:suppressAutoHyphens/>
        <w:spacing w:after="120" w:line="340" w:lineRule="auto"/>
        <w:ind w:left="714" w:hanging="357"/>
        <w:rPr>
          <w:rFonts w:cs="Arial"/>
          <w:lang w:val="en-GB"/>
        </w:rPr>
      </w:pPr>
      <w:r>
        <w:rPr>
          <w:rFonts w:cs="Arial"/>
          <w:lang w:val="en-GB"/>
        </w:rPr>
        <w:t xml:space="preserve">The new Dutch government should urgently </w:t>
      </w:r>
      <w:r w:rsidR="00F93B84" w:rsidRPr="00EC285E">
        <w:rPr>
          <w:rFonts w:cs="Arial"/>
          <w:b/>
          <w:bCs/>
          <w:lang w:val="en-GB"/>
        </w:rPr>
        <w:t xml:space="preserve">put in place </w:t>
      </w:r>
      <w:r w:rsidRPr="00EC285E">
        <w:rPr>
          <w:rFonts w:cs="Arial"/>
          <w:b/>
          <w:bCs/>
          <w:lang w:val="en-GB"/>
        </w:rPr>
        <w:t>c</w:t>
      </w:r>
      <w:r w:rsidR="00716DA6" w:rsidRPr="00EC285E">
        <w:rPr>
          <w:rFonts w:cs="Arial"/>
          <w:b/>
          <w:bCs/>
          <w:lang w:val="en-GB"/>
        </w:rPr>
        <w:t xml:space="preserve">oncrete </w:t>
      </w:r>
      <w:r w:rsidR="00F93B84" w:rsidRPr="00EC285E">
        <w:rPr>
          <w:rFonts w:cs="Arial"/>
          <w:b/>
          <w:bCs/>
          <w:lang w:val="en-GB"/>
        </w:rPr>
        <w:t xml:space="preserve">phase out policies </w:t>
      </w:r>
      <w:r w:rsidR="00BD433C">
        <w:rPr>
          <w:rFonts w:cs="Arial"/>
          <w:b/>
          <w:bCs/>
          <w:lang w:val="en-GB"/>
        </w:rPr>
        <w:t xml:space="preserve">for all types of fossil fuels </w:t>
      </w:r>
      <w:r w:rsidR="00D01784" w:rsidRPr="00EC285E">
        <w:rPr>
          <w:rFonts w:cs="Arial"/>
          <w:b/>
          <w:bCs/>
          <w:lang w:val="en-GB"/>
        </w:rPr>
        <w:t xml:space="preserve">in line with the </w:t>
      </w:r>
      <w:r w:rsidR="0067041D" w:rsidRPr="00EC285E">
        <w:rPr>
          <w:rFonts w:cs="Arial"/>
          <w:b/>
          <w:bCs/>
          <w:lang w:val="en-GB"/>
        </w:rPr>
        <w:t xml:space="preserve">latest </w:t>
      </w:r>
      <w:r w:rsidR="006C6151">
        <w:rPr>
          <w:rFonts w:cs="Arial"/>
          <w:b/>
          <w:bCs/>
          <w:lang w:val="en-GB"/>
        </w:rPr>
        <w:t xml:space="preserve">climate </w:t>
      </w:r>
      <w:r w:rsidR="0067041D" w:rsidRPr="00EC285E">
        <w:rPr>
          <w:rFonts w:cs="Arial"/>
          <w:b/>
          <w:bCs/>
          <w:lang w:val="en-GB"/>
        </w:rPr>
        <w:t>science</w:t>
      </w:r>
      <w:r w:rsidR="00D01784" w:rsidRPr="00EC285E">
        <w:rPr>
          <w:rFonts w:cs="Arial"/>
          <w:b/>
          <w:bCs/>
          <w:lang w:val="en-GB"/>
        </w:rPr>
        <w:t xml:space="preserve"> </w:t>
      </w:r>
      <w:r w:rsidR="00716DA6" w:rsidRPr="002923FE">
        <w:rPr>
          <w:rFonts w:cs="Arial"/>
          <w:lang w:val="en-GB"/>
        </w:rPr>
        <w:t xml:space="preserve">for </w:t>
      </w:r>
      <w:r w:rsidR="0067041D" w:rsidRPr="002923FE">
        <w:rPr>
          <w:rFonts w:cs="Arial"/>
          <w:lang w:val="en-GB"/>
        </w:rPr>
        <w:t xml:space="preserve">reaching </w:t>
      </w:r>
      <w:r w:rsidR="005772F0" w:rsidRPr="002923FE">
        <w:rPr>
          <w:rFonts w:cs="Arial"/>
          <w:lang w:val="en-GB"/>
        </w:rPr>
        <w:t>n</w:t>
      </w:r>
      <w:r w:rsidR="0067041D" w:rsidRPr="002923FE">
        <w:rPr>
          <w:rFonts w:cs="Arial"/>
          <w:lang w:val="en-GB"/>
        </w:rPr>
        <w:t xml:space="preserve">et </w:t>
      </w:r>
      <w:r w:rsidR="005772F0" w:rsidRPr="002923FE">
        <w:rPr>
          <w:rFonts w:cs="Arial"/>
          <w:lang w:val="en-GB"/>
        </w:rPr>
        <w:t>z</w:t>
      </w:r>
      <w:r w:rsidR="0067041D" w:rsidRPr="002923FE">
        <w:rPr>
          <w:rFonts w:cs="Arial"/>
          <w:lang w:val="en-GB"/>
        </w:rPr>
        <w:t>ero</w:t>
      </w:r>
      <w:r w:rsidR="00FC68B8" w:rsidRPr="002923FE">
        <w:rPr>
          <w:rFonts w:cs="Arial"/>
          <w:lang w:val="en-GB"/>
        </w:rPr>
        <w:t xml:space="preserve"> GHG emissions</w:t>
      </w:r>
      <w:r w:rsidR="0067041D" w:rsidRPr="002923FE">
        <w:rPr>
          <w:rFonts w:cs="Arial"/>
          <w:lang w:val="en-GB"/>
        </w:rPr>
        <w:t xml:space="preserve"> by mid-century</w:t>
      </w:r>
      <w:r w:rsidR="0067041D" w:rsidRPr="00FC1E5A">
        <w:rPr>
          <w:rFonts w:cs="Arial"/>
          <w:lang w:val="en-GB"/>
        </w:rPr>
        <w:t xml:space="preserve"> </w:t>
      </w:r>
      <w:r w:rsidR="005E3EFE" w:rsidRPr="002923FE">
        <w:rPr>
          <w:rFonts w:cs="Arial"/>
          <w:b/>
          <w:bCs/>
          <w:lang w:val="en-GB"/>
        </w:rPr>
        <w:t xml:space="preserve">and </w:t>
      </w:r>
      <w:r w:rsidR="00F93B84" w:rsidRPr="002923FE">
        <w:rPr>
          <w:rFonts w:cs="Arial"/>
          <w:b/>
          <w:bCs/>
          <w:lang w:val="en-GB"/>
        </w:rPr>
        <w:t xml:space="preserve">fully </w:t>
      </w:r>
      <w:r w:rsidR="00C41130" w:rsidRPr="002923FE">
        <w:rPr>
          <w:rFonts w:cs="Arial"/>
          <w:b/>
          <w:bCs/>
          <w:lang w:val="en-GB"/>
        </w:rPr>
        <w:t xml:space="preserve">align officially supported export finance with the Paris </w:t>
      </w:r>
      <w:r w:rsidR="00AB7B79">
        <w:rPr>
          <w:rFonts w:cs="Arial"/>
          <w:lang w:val="en-GB"/>
        </w:rPr>
        <w:t xml:space="preserve">Agreement. </w:t>
      </w:r>
      <w:r w:rsidR="00E87895" w:rsidRPr="00BC5C87">
        <w:rPr>
          <w:rFonts w:cs="Arial"/>
          <w:lang w:val="en-GB"/>
        </w:rPr>
        <w:t>This would</w:t>
      </w:r>
      <w:r w:rsidR="005E3EFE" w:rsidRPr="00BC5C87">
        <w:rPr>
          <w:rFonts w:cs="Arial"/>
          <w:lang w:val="en-GB"/>
        </w:rPr>
        <w:t xml:space="preserve"> </w:t>
      </w:r>
      <w:r w:rsidR="006C6151">
        <w:rPr>
          <w:rFonts w:cs="Arial"/>
          <w:lang w:val="en-GB"/>
        </w:rPr>
        <w:t xml:space="preserve">also </w:t>
      </w:r>
      <w:r w:rsidR="00E87895" w:rsidRPr="006C6151">
        <w:rPr>
          <w:rFonts w:cs="Arial"/>
          <w:lang w:val="en-GB"/>
        </w:rPr>
        <w:t>help</w:t>
      </w:r>
      <w:r w:rsidR="00E87895" w:rsidRPr="006C6151">
        <w:rPr>
          <w:rFonts w:cs="Arial"/>
          <w:b/>
          <w:bCs/>
          <w:lang w:val="en-GB"/>
        </w:rPr>
        <w:t xml:space="preserve"> create momentum </w:t>
      </w:r>
      <w:r w:rsidR="005E3EFE" w:rsidRPr="006C6151">
        <w:rPr>
          <w:rFonts w:cs="Arial"/>
          <w:b/>
          <w:bCs/>
          <w:lang w:val="en-GB"/>
        </w:rPr>
        <w:t xml:space="preserve">in international </w:t>
      </w:r>
      <w:r w:rsidR="00BD7B63" w:rsidRPr="006C6151">
        <w:rPr>
          <w:rFonts w:cs="Arial"/>
          <w:b/>
          <w:bCs/>
          <w:lang w:val="en-GB"/>
        </w:rPr>
        <w:t>fora</w:t>
      </w:r>
      <w:r w:rsidR="000F0748" w:rsidRPr="006C6151">
        <w:rPr>
          <w:rFonts w:cs="Arial"/>
          <w:lang w:val="en-GB"/>
        </w:rPr>
        <w:t>, such as the E3F</w:t>
      </w:r>
      <w:r w:rsidR="00BD7B63" w:rsidRPr="00BC5C87">
        <w:rPr>
          <w:rFonts w:cs="Arial"/>
          <w:lang w:val="en-GB"/>
        </w:rPr>
        <w:t xml:space="preserve"> or OECD</w:t>
      </w:r>
      <w:r w:rsidR="00E87895" w:rsidRPr="00BC5C87">
        <w:rPr>
          <w:rFonts w:cs="Arial"/>
          <w:lang w:val="en-GB"/>
        </w:rPr>
        <w:t>, where the Netherlands is well positioned to show leadership</w:t>
      </w:r>
      <w:r w:rsidR="000F0748" w:rsidRPr="00BC5C87">
        <w:rPr>
          <w:rFonts w:cs="Arial"/>
          <w:lang w:val="en-GB"/>
        </w:rPr>
        <w:t>.</w:t>
      </w:r>
    </w:p>
    <w:p w14:paraId="1AA34BE6" w14:textId="77777777" w:rsidR="00191DB8" w:rsidRPr="00FC1E5A" w:rsidRDefault="00191DB8" w:rsidP="005B0162">
      <w:pPr>
        <w:spacing w:after="120"/>
        <w:rPr>
          <w:rFonts w:cs="Arial"/>
          <w:lang w:val="en-GB"/>
        </w:rPr>
      </w:pPr>
    </w:p>
    <w:tbl>
      <w:tblPr>
        <w:tblStyle w:val="Tabellenraster"/>
        <w:tblW w:w="9122" w:type="dxa"/>
        <w:tblLayout w:type="fixed"/>
        <w:tblLook w:val="04A0" w:firstRow="1" w:lastRow="0" w:firstColumn="1" w:lastColumn="0" w:noHBand="0" w:noVBand="1"/>
      </w:tblPr>
      <w:tblGrid>
        <w:gridCol w:w="2277"/>
        <w:gridCol w:w="999"/>
        <w:gridCol w:w="4374"/>
        <w:gridCol w:w="1472"/>
      </w:tblGrid>
      <w:tr w:rsidR="003670E2" w:rsidRPr="00460FCC" w14:paraId="6FA4991A" w14:textId="77777777" w:rsidTr="00EC285E">
        <w:trPr>
          <w:trHeight w:val="389"/>
        </w:trPr>
        <w:tc>
          <w:tcPr>
            <w:tcW w:w="2277" w:type="dxa"/>
            <w:shd w:val="clear" w:color="auto" w:fill="1F497D" w:themeFill="text2"/>
          </w:tcPr>
          <w:p w14:paraId="05A366F6" w14:textId="77777777" w:rsidR="003670E2" w:rsidRPr="00EC285E" w:rsidRDefault="000A6A9E" w:rsidP="002923FE">
            <w:pPr>
              <w:keepNext/>
              <w:keepLines/>
              <w:spacing w:after="0" w:line="276" w:lineRule="auto"/>
              <w:rPr>
                <w:rFonts w:cs="Arial"/>
                <w:b/>
                <w:bCs/>
                <w:color w:val="FFFFFF" w:themeColor="background1"/>
                <w:lang w:val="en-GB"/>
              </w:rPr>
            </w:pPr>
            <w:r w:rsidRPr="00EC285E">
              <w:rPr>
                <w:rFonts w:cs="Arial"/>
                <w:b/>
                <w:bCs/>
                <w:color w:val="FFFFFF" w:themeColor="background1"/>
                <w:lang w:val="en-GB"/>
              </w:rPr>
              <w:t>Assessment d</w:t>
            </w:r>
            <w:r w:rsidR="00257371" w:rsidRPr="00EC285E">
              <w:rPr>
                <w:rFonts w:cs="Arial"/>
                <w:b/>
                <w:bCs/>
                <w:color w:val="FFFFFF" w:themeColor="background1"/>
                <w:lang w:val="en-GB"/>
              </w:rPr>
              <w:t>imension</w:t>
            </w:r>
            <w:r w:rsidR="00952BB6" w:rsidRPr="00EC285E">
              <w:rPr>
                <w:rFonts w:cs="Arial"/>
                <w:b/>
                <w:bCs/>
                <w:color w:val="FFFFFF" w:themeColor="background1"/>
                <w:lang w:val="en-GB"/>
              </w:rPr>
              <w:t xml:space="preserve"> </w:t>
            </w:r>
          </w:p>
        </w:tc>
        <w:tc>
          <w:tcPr>
            <w:tcW w:w="999" w:type="dxa"/>
            <w:shd w:val="clear" w:color="auto" w:fill="1F497D" w:themeFill="text2"/>
          </w:tcPr>
          <w:p w14:paraId="68B1ABE1" w14:textId="77777777" w:rsidR="003670E2" w:rsidRPr="00EC285E" w:rsidRDefault="003670E2" w:rsidP="002923FE">
            <w:pPr>
              <w:keepNext/>
              <w:keepLines/>
              <w:spacing w:after="0" w:line="276" w:lineRule="auto"/>
              <w:rPr>
                <w:rFonts w:cs="Arial"/>
                <w:b/>
                <w:bCs/>
                <w:color w:val="FFFFFF" w:themeColor="background1"/>
                <w:lang w:val="en-GB"/>
              </w:rPr>
            </w:pPr>
            <w:r w:rsidRPr="00EC285E">
              <w:rPr>
                <w:rFonts w:cs="Arial"/>
                <w:b/>
                <w:bCs/>
                <w:color w:val="FFFFFF" w:themeColor="background1"/>
                <w:lang w:val="en-GB"/>
              </w:rPr>
              <w:t>Weight</w:t>
            </w:r>
          </w:p>
        </w:tc>
        <w:tc>
          <w:tcPr>
            <w:tcW w:w="4374" w:type="dxa"/>
            <w:shd w:val="clear" w:color="auto" w:fill="1F497D" w:themeFill="text2"/>
          </w:tcPr>
          <w:p w14:paraId="031BBFA4" w14:textId="77777777" w:rsidR="003670E2" w:rsidRPr="00EC285E" w:rsidRDefault="003670E2" w:rsidP="002923FE">
            <w:pPr>
              <w:keepNext/>
              <w:keepLines/>
              <w:spacing w:after="0" w:line="276" w:lineRule="auto"/>
              <w:rPr>
                <w:rFonts w:cs="Arial"/>
                <w:b/>
                <w:bCs/>
                <w:color w:val="FFFFFF" w:themeColor="background1"/>
                <w:lang w:val="en-GB"/>
              </w:rPr>
            </w:pPr>
            <w:r w:rsidRPr="00EC285E">
              <w:rPr>
                <w:rFonts w:cs="Arial"/>
                <w:b/>
                <w:bCs/>
                <w:color w:val="FFFFFF" w:themeColor="background1"/>
                <w:lang w:val="en-GB"/>
              </w:rPr>
              <w:t>Description</w:t>
            </w:r>
          </w:p>
        </w:tc>
        <w:tc>
          <w:tcPr>
            <w:tcW w:w="1472" w:type="dxa"/>
            <w:shd w:val="clear" w:color="auto" w:fill="1F497D" w:themeFill="text2"/>
          </w:tcPr>
          <w:p w14:paraId="5A93B571" w14:textId="77777777" w:rsidR="003670E2" w:rsidRPr="00EC285E" w:rsidRDefault="003670E2" w:rsidP="002923FE">
            <w:pPr>
              <w:keepNext/>
              <w:keepLines/>
              <w:spacing w:after="0" w:line="276" w:lineRule="auto"/>
              <w:rPr>
                <w:rFonts w:cs="Arial"/>
                <w:b/>
                <w:bCs/>
                <w:color w:val="FFFFFF" w:themeColor="background1"/>
                <w:lang w:val="en-GB"/>
              </w:rPr>
            </w:pPr>
            <w:r w:rsidRPr="00EC285E">
              <w:rPr>
                <w:rFonts w:cs="Arial"/>
                <w:b/>
                <w:bCs/>
                <w:color w:val="FFFFFF" w:themeColor="background1"/>
                <w:lang w:val="en-GB"/>
              </w:rPr>
              <w:t>Score</w:t>
            </w:r>
          </w:p>
        </w:tc>
      </w:tr>
      <w:tr w:rsidR="003670E2" w:rsidRPr="00460FCC" w14:paraId="06E46160" w14:textId="77777777" w:rsidTr="00EC285E">
        <w:trPr>
          <w:trHeight w:val="20"/>
        </w:trPr>
        <w:tc>
          <w:tcPr>
            <w:tcW w:w="2277" w:type="dxa"/>
          </w:tcPr>
          <w:p w14:paraId="18925E41" w14:textId="77777777" w:rsidR="003670E2" w:rsidRPr="00EC285E" w:rsidRDefault="009D3D69" w:rsidP="002923FE">
            <w:pPr>
              <w:keepNext/>
              <w:keepLines/>
              <w:spacing w:after="0" w:line="276" w:lineRule="auto"/>
              <w:jc w:val="left"/>
              <w:rPr>
                <w:lang w:val="en-GB"/>
              </w:rPr>
            </w:pPr>
            <w:r w:rsidRPr="00EC285E">
              <w:rPr>
                <w:lang w:val="en-GB"/>
              </w:rPr>
              <w:t xml:space="preserve">1. </w:t>
            </w:r>
            <w:r w:rsidR="003670E2" w:rsidRPr="00EC285E">
              <w:rPr>
                <w:lang w:val="en-GB"/>
              </w:rPr>
              <w:t>Transparency</w:t>
            </w:r>
          </w:p>
        </w:tc>
        <w:tc>
          <w:tcPr>
            <w:tcW w:w="999" w:type="dxa"/>
          </w:tcPr>
          <w:p w14:paraId="423694FE" w14:textId="77777777" w:rsidR="003670E2" w:rsidRPr="00EC285E" w:rsidRDefault="003670E2" w:rsidP="002923FE">
            <w:pPr>
              <w:keepNext/>
              <w:keepLines/>
              <w:spacing w:after="0" w:line="276" w:lineRule="auto"/>
              <w:jc w:val="left"/>
              <w:rPr>
                <w:rFonts w:cs="Arial"/>
                <w:lang w:val="en-GB"/>
              </w:rPr>
            </w:pPr>
            <w:r w:rsidRPr="00EC285E">
              <w:rPr>
                <w:rFonts w:cs="Arial"/>
                <w:lang w:val="en-GB"/>
              </w:rPr>
              <w:t>0.2</w:t>
            </w:r>
          </w:p>
        </w:tc>
        <w:tc>
          <w:tcPr>
            <w:tcW w:w="4374" w:type="dxa"/>
          </w:tcPr>
          <w:p w14:paraId="42FEA2A6" w14:textId="77777777" w:rsidR="003670E2" w:rsidRPr="00EC285E" w:rsidRDefault="003670E2" w:rsidP="002923FE">
            <w:pPr>
              <w:keepNext/>
              <w:keepLines/>
              <w:spacing w:after="0" w:line="276" w:lineRule="auto"/>
              <w:jc w:val="left"/>
              <w:rPr>
                <w:rFonts w:cs="Arial"/>
                <w:lang w:val="en-GB"/>
              </w:rPr>
            </w:pPr>
            <w:r w:rsidRPr="00EC285E">
              <w:rPr>
                <w:rFonts w:cs="Arial"/>
                <w:lang w:val="en-GB"/>
              </w:rPr>
              <w:t>Financial and non-financial disclosures</w:t>
            </w:r>
          </w:p>
        </w:tc>
        <w:tc>
          <w:tcPr>
            <w:tcW w:w="1472" w:type="dxa"/>
            <w:shd w:val="clear" w:color="auto" w:fill="FFC000"/>
          </w:tcPr>
          <w:p w14:paraId="3DB293FF" w14:textId="77777777" w:rsidR="003670E2" w:rsidRPr="00EC285E" w:rsidRDefault="4FF00766" w:rsidP="002923FE">
            <w:pPr>
              <w:keepNext/>
              <w:keepLines/>
              <w:spacing w:after="0" w:line="276" w:lineRule="auto"/>
              <w:jc w:val="left"/>
              <w:rPr>
                <w:rFonts w:cs="Arial"/>
                <w:color w:val="F79646" w:themeColor="accent6"/>
                <w:lang w:val="en-GB"/>
              </w:rPr>
            </w:pPr>
            <w:r w:rsidRPr="00EC285E">
              <w:rPr>
                <w:rFonts w:cs="Arial"/>
                <w:lang w:val="en-GB"/>
              </w:rPr>
              <w:t>1</w:t>
            </w:r>
            <w:r w:rsidR="004451AD" w:rsidRPr="00EC285E">
              <w:rPr>
                <w:rFonts w:cs="Arial"/>
                <w:lang w:val="en-GB"/>
              </w:rPr>
              <w:t>.00</w:t>
            </w:r>
            <w:r w:rsidRPr="00EC285E">
              <w:rPr>
                <w:rFonts w:cs="Arial"/>
                <w:lang w:val="en-GB"/>
              </w:rPr>
              <w:t>/3.00</w:t>
            </w:r>
          </w:p>
        </w:tc>
      </w:tr>
      <w:tr w:rsidR="003670E2" w:rsidRPr="00460FCC" w14:paraId="4B2387D9" w14:textId="77777777" w:rsidTr="002923FE">
        <w:trPr>
          <w:trHeight w:val="20"/>
        </w:trPr>
        <w:tc>
          <w:tcPr>
            <w:tcW w:w="2277" w:type="dxa"/>
          </w:tcPr>
          <w:p w14:paraId="02785B26" w14:textId="77777777" w:rsidR="003670E2" w:rsidRPr="00EC285E" w:rsidRDefault="009D3D69" w:rsidP="002923FE">
            <w:pPr>
              <w:keepNext/>
              <w:keepLines/>
              <w:spacing w:after="0" w:line="276" w:lineRule="auto"/>
              <w:jc w:val="left"/>
              <w:rPr>
                <w:lang w:val="en-GB"/>
              </w:rPr>
            </w:pPr>
            <w:r w:rsidRPr="00EC285E">
              <w:rPr>
                <w:lang w:val="en-GB"/>
              </w:rPr>
              <w:t xml:space="preserve">2. </w:t>
            </w:r>
            <w:r w:rsidR="003670E2" w:rsidRPr="00EC285E">
              <w:rPr>
                <w:lang w:val="en-GB"/>
              </w:rPr>
              <w:t>Mitigation I</w:t>
            </w:r>
          </w:p>
        </w:tc>
        <w:tc>
          <w:tcPr>
            <w:tcW w:w="999" w:type="dxa"/>
          </w:tcPr>
          <w:p w14:paraId="5E4D67EA" w14:textId="77777777" w:rsidR="003670E2" w:rsidRPr="00EC285E" w:rsidRDefault="003670E2" w:rsidP="002923FE">
            <w:pPr>
              <w:keepNext/>
              <w:keepLines/>
              <w:spacing w:after="0" w:line="276" w:lineRule="auto"/>
              <w:jc w:val="left"/>
              <w:rPr>
                <w:rFonts w:cs="Arial"/>
                <w:lang w:val="en-GB"/>
              </w:rPr>
            </w:pPr>
            <w:r w:rsidRPr="00EC285E">
              <w:rPr>
                <w:rFonts w:cs="Arial"/>
                <w:lang w:val="en-GB"/>
              </w:rPr>
              <w:t>0.4</w:t>
            </w:r>
          </w:p>
        </w:tc>
        <w:tc>
          <w:tcPr>
            <w:tcW w:w="4374" w:type="dxa"/>
          </w:tcPr>
          <w:p w14:paraId="5A98752B" w14:textId="77777777" w:rsidR="003670E2" w:rsidRPr="00EC285E" w:rsidRDefault="003670E2" w:rsidP="002923FE">
            <w:pPr>
              <w:keepNext/>
              <w:keepLines/>
              <w:spacing w:after="0" w:line="276" w:lineRule="auto"/>
              <w:jc w:val="left"/>
              <w:rPr>
                <w:rFonts w:cs="Arial"/>
                <w:lang w:val="en-GB"/>
              </w:rPr>
            </w:pPr>
            <w:r w:rsidRPr="00EC285E">
              <w:rPr>
                <w:rFonts w:cs="Arial"/>
                <w:lang w:val="en-GB"/>
              </w:rPr>
              <w:t>Ambition of fossil fuel exclusion or restriction policies</w:t>
            </w:r>
          </w:p>
        </w:tc>
        <w:tc>
          <w:tcPr>
            <w:tcW w:w="1472" w:type="dxa"/>
            <w:shd w:val="clear" w:color="auto" w:fill="FF0000"/>
          </w:tcPr>
          <w:p w14:paraId="25D3D873" w14:textId="77777777" w:rsidR="003670E2" w:rsidRPr="00EC285E" w:rsidRDefault="4FF00766" w:rsidP="002923FE">
            <w:pPr>
              <w:keepNext/>
              <w:keepLines/>
              <w:spacing w:after="0" w:line="276" w:lineRule="auto"/>
              <w:jc w:val="left"/>
              <w:rPr>
                <w:rFonts w:cs="Arial"/>
                <w:lang w:val="en-GB"/>
              </w:rPr>
            </w:pPr>
            <w:r w:rsidRPr="00EC285E">
              <w:rPr>
                <w:rFonts w:cs="Arial"/>
                <w:lang w:val="en-GB"/>
              </w:rPr>
              <w:t>0.</w:t>
            </w:r>
            <w:r w:rsidR="00912243">
              <w:rPr>
                <w:rFonts w:cs="Arial"/>
                <w:lang w:val="en-GB"/>
              </w:rPr>
              <w:t>33</w:t>
            </w:r>
            <w:r w:rsidRPr="00EC285E">
              <w:rPr>
                <w:rFonts w:cs="Arial"/>
                <w:lang w:val="en-GB"/>
              </w:rPr>
              <w:t>/3.00</w:t>
            </w:r>
          </w:p>
        </w:tc>
      </w:tr>
      <w:tr w:rsidR="003670E2" w:rsidRPr="00460FCC" w14:paraId="21E7F87C" w14:textId="77777777" w:rsidTr="00580658">
        <w:trPr>
          <w:trHeight w:val="20"/>
        </w:trPr>
        <w:tc>
          <w:tcPr>
            <w:tcW w:w="2277" w:type="dxa"/>
          </w:tcPr>
          <w:p w14:paraId="2D1F6208" w14:textId="77777777" w:rsidR="003670E2" w:rsidRPr="00EC285E" w:rsidRDefault="009D3D69" w:rsidP="002923FE">
            <w:pPr>
              <w:keepNext/>
              <w:keepLines/>
              <w:spacing w:after="0" w:line="276" w:lineRule="auto"/>
              <w:jc w:val="left"/>
              <w:rPr>
                <w:lang w:val="en-GB"/>
              </w:rPr>
            </w:pPr>
            <w:r w:rsidRPr="00EC285E">
              <w:rPr>
                <w:lang w:val="en-GB"/>
              </w:rPr>
              <w:t xml:space="preserve">3. </w:t>
            </w:r>
            <w:r w:rsidR="003670E2" w:rsidRPr="00EC285E">
              <w:rPr>
                <w:lang w:val="en-GB"/>
              </w:rPr>
              <w:t>Mitigation II</w:t>
            </w:r>
          </w:p>
        </w:tc>
        <w:tc>
          <w:tcPr>
            <w:tcW w:w="999" w:type="dxa"/>
          </w:tcPr>
          <w:p w14:paraId="28008A59" w14:textId="77777777" w:rsidR="003670E2" w:rsidRPr="00EC285E" w:rsidRDefault="003670E2" w:rsidP="002923FE">
            <w:pPr>
              <w:keepNext/>
              <w:keepLines/>
              <w:spacing w:after="0" w:line="276" w:lineRule="auto"/>
              <w:jc w:val="left"/>
              <w:rPr>
                <w:rFonts w:cs="Arial"/>
                <w:lang w:val="en-GB"/>
              </w:rPr>
            </w:pPr>
            <w:r w:rsidRPr="00EC285E">
              <w:rPr>
                <w:rFonts w:cs="Arial"/>
                <w:lang w:val="en-GB"/>
              </w:rPr>
              <w:t>0.2</w:t>
            </w:r>
          </w:p>
        </w:tc>
        <w:tc>
          <w:tcPr>
            <w:tcW w:w="4374" w:type="dxa"/>
          </w:tcPr>
          <w:p w14:paraId="37C85013" w14:textId="77777777" w:rsidR="003670E2" w:rsidRPr="00EC285E" w:rsidRDefault="003670E2" w:rsidP="002923FE">
            <w:pPr>
              <w:keepNext/>
              <w:keepLines/>
              <w:spacing w:after="0" w:line="276" w:lineRule="auto"/>
              <w:jc w:val="left"/>
              <w:rPr>
                <w:rFonts w:cs="Arial"/>
                <w:lang w:val="en-GB"/>
              </w:rPr>
            </w:pPr>
            <w:r w:rsidRPr="00EC285E">
              <w:rPr>
                <w:rFonts w:cs="Arial"/>
                <w:lang w:val="en-GB"/>
              </w:rPr>
              <w:t>Climate impact of and emission reduction targets for all activities</w:t>
            </w:r>
          </w:p>
        </w:tc>
        <w:tc>
          <w:tcPr>
            <w:tcW w:w="1472" w:type="dxa"/>
            <w:shd w:val="clear" w:color="auto" w:fill="FF0000"/>
          </w:tcPr>
          <w:p w14:paraId="1AB4B748" w14:textId="77777777" w:rsidR="003670E2" w:rsidRPr="00EC285E" w:rsidRDefault="4FF00766" w:rsidP="002923FE">
            <w:pPr>
              <w:keepNext/>
              <w:keepLines/>
              <w:spacing w:after="0" w:line="276" w:lineRule="auto"/>
              <w:jc w:val="left"/>
              <w:rPr>
                <w:rFonts w:cs="Arial"/>
                <w:lang w:val="en-GB"/>
              </w:rPr>
            </w:pPr>
            <w:r w:rsidRPr="00EC285E">
              <w:rPr>
                <w:rFonts w:cs="Arial"/>
                <w:lang w:val="en-GB"/>
              </w:rPr>
              <w:t>0.</w:t>
            </w:r>
            <w:r w:rsidR="00580658">
              <w:rPr>
                <w:rFonts w:cs="Arial"/>
                <w:lang w:val="en-GB"/>
              </w:rPr>
              <w:t>00</w:t>
            </w:r>
            <w:r w:rsidRPr="00EC285E">
              <w:rPr>
                <w:rFonts w:cs="Arial"/>
                <w:lang w:val="en-GB"/>
              </w:rPr>
              <w:t>/3.00</w:t>
            </w:r>
          </w:p>
        </w:tc>
      </w:tr>
      <w:tr w:rsidR="003670E2" w:rsidRPr="00460FCC" w14:paraId="2B03952B" w14:textId="77777777" w:rsidTr="00EC285E">
        <w:trPr>
          <w:trHeight w:val="20"/>
        </w:trPr>
        <w:tc>
          <w:tcPr>
            <w:tcW w:w="2277" w:type="dxa"/>
          </w:tcPr>
          <w:p w14:paraId="5B3470C8" w14:textId="77777777" w:rsidR="003670E2" w:rsidRPr="00EC285E" w:rsidRDefault="009D3D69" w:rsidP="002923FE">
            <w:pPr>
              <w:keepNext/>
              <w:keepLines/>
              <w:spacing w:after="0" w:line="276" w:lineRule="auto"/>
              <w:jc w:val="left"/>
              <w:rPr>
                <w:lang w:val="en-GB"/>
              </w:rPr>
            </w:pPr>
            <w:r w:rsidRPr="00EC285E">
              <w:rPr>
                <w:lang w:val="en-GB"/>
              </w:rPr>
              <w:t xml:space="preserve">4. </w:t>
            </w:r>
            <w:r w:rsidR="003670E2" w:rsidRPr="00EC285E">
              <w:rPr>
                <w:lang w:val="en-GB"/>
              </w:rPr>
              <w:t>Climate finance</w:t>
            </w:r>
          </w:p>
        </w:tc>
        <w:tc>
          <w:tcPr>
            <w:tcW w:w="999" w:type="dxa"/>
          </w:tcPr>
          <w:p w14:paraId="05D78A4B" w14:textId="77777777" w:rsidR="003670E2" w:rsidRPr="00EC285E" w:rsidRDefault="003670E2" w:rsidP="002923FE">
            <w:pPr>
              <w:keepNext/>
              <w:keepLines/>
              <w:spacing w:after="0" w:line="276" w:lineRule="auto"/>
              <w:jc w:val="left"/>
              <w:rPr>
                <w:rFonts w:cs="Arial"/>
                <w:lang w:val="en-GB"/>
              </w:rPr>
            </w:pPr>
            <w:r w:rsidRPr="00EC285E">
              <w:rPr>
                <w:rFonts w:cs="Arial"/>
                <w:lang w:val="en-GB"/>
              </w:rPr>
              <w:t>0.1</w:t>
            </w:r>
          </w:p>
        </w:tc>
        <w:tc>
          <w:tcPr>
            <w:tcW w:w="4374" w:type="dxa"/>
          </w:tcPr>
          <w:p w14:paraId="38E1065C" w14:textId="77777777" w:rsidR="003670E2" w:rsidRPr="00EC285E" w:rsidRDefault="00FA3A79" w:rsidP="002923FE">
            <w:pPr>
              <w:keepNext/>
              <w:keepLines/>
              <w:spacing w:after="0" w:line="276" w:lineRule="auto"/>
              <w:jc w:val="left"/>
              <w:rPr>
                <w:rFonts w:cs="Arial"/>
                <w:lang w:val="en-GB"/>
              </w:rPr>
            </w:pPr>
            <w:r>
              <w:rPr>
                <w:rFonts w:cs="Arial"/>
                <w:lang w:val="en-GB"/>
              </w:rPr>
              <w:t>Positive contribution to the global climate transition</w:t>
            </w:r>
          </w:p>
        </w:tc>
        <w:tc>
          <w:tcPr>
            <w:tcW w:w="1472" w:type="dxa"/>
            <w:shd w:val="clear" w:color="auto" w:fill="FFC000"/>
          </w:tcPr>
          <w:p w14:paraId="2BBDCA38" w14:textId="77777777" w:rsidR="003670E2" w:rsidRPr="00EC285E" w:rsidRDefault="003670E2" w:rsidP="002923FE">
            <w:pPr>
              <w:keepNext/>
              <w:keepLines/>
              <w:spacing w:after="0" w:line="276" w:lineRule="auto"/>
              <w:jc w:val="left"/>
              <w:rPr>
                <w:rFonts w:cs="Arial"/>
                <w:lang w:val="en-GB"/>
              </w:rPr>
            </w:pPr>
            <w:r w:rsidRPr="00EC285E">
              <w:rPr>
                <w:rFonts w:cs="Arial"/>
                <w:lang w:val="en-GB"/>
              </w:rPr>
              <w:t>0.</w:t>
            </w:r>
            <w:r w:rsidR="004C234A" w:rsidRPr="00EC285E">
              <w:rPr>
                <w:rFonts w:cs="Arial"/>
                <w:lang w:val="en-GB"/>
              </w:rPr>
              <w:t>6</w:t>
            </w:r>
            <w:r w:rsidRPr="00EC285E">
              <w:rPr>
                <w:rFonts w:cs="Arial"/>
                <w:lang w:val="en-GB"/>
              </w:rPr>
              <w:t>0</w:t>
            </w:r>
            <w:r w:rsidR="00323CE3" w:rsidRPr="00EC285E">
              <w:rPr>
                <w:rFonts w:cs="Arial"/>
                <w:lang w:val="en-GB"/>
              </w:rPr>
              <w:t>/3.00</w:t>
            </w:r>
          </w:p>
        </w:tc>
      </w:tr>
      <w:tr w:rsidR="003670E2" w:rsidRPr="00460FCC" w14:paraId="15935946" w14:textId="77777777" w:rsidTr="00EC285E">
        <w:trPr>
          <w:trHeight w:val="20"/>
        </w:trPr>
        <w:tc>
          <w:tcPr>
            <w:tcW w:w="2277" w:type="dxa"/>
          </w:tcPr>
          <w:p w14:paraId="437E6FC2" w14:textId="77777777" w:rsidR="003670E2" w:rsidRPr="00EC285E" w:rsidRDefault="009D3D69" w:rsidP="002923FE">
            <w:pPr>
              <w:keepNext/>
              <w:keepLines/>
              <w:spacing w:after="0" w:line="276" w:lineRule="auto"/>
              <w:jc w:val="left"/>
              <w:rPr>
                <w:lang w:val="en-GB"/>
              </w:rPr>
            </w:pPr>
            <w:r w:rsidRPr="00EC285E">
              <w:rPr>
                <w:lang w:val="en-GB"/>
              </w:rPr>
              <w:t xml:space="preserve">5. </w:t>
            </w:r>
            <w:r w:rsidR="003670E2" w:rsidRPr="00EC285E">
              <w:rPr>
                <w:lang w:val="en-GB"/>
              </w:rPr>
              <w:t>Engagement</w:t>
            </w:r>
          </w:p>
        </w:tc>
        <w:tc>
          <w:tcPr>
            <w:tcW w:w="999" w:type="dxa"/>
          </w:tcPr>
          <w:p w14:paraId="649236D9" w14:textId="77777777" w:rsidR="003670E2" w:rsidRPr="00EC285E" w:rsidRDefault="003670E2" w:rsidP="002923FE">
            <w:pPr>
              <w:keepNext/>
              <w:keepLines/>
              <w:spacing w:after="0" w:line="276" w:lineRule="auto"/>
              <w:jc w:val="left"/>
              <w:rPr>
                <w:rFonts w:cs="Arial"/>
                <w:lang w:val="en-GB"/>
              </w:rPr>
            </w:pPr>
            <w:r w:rsidRPr="00EC285E">
              <w:rPr>
                <w:rFonts w:cs="Arial"/>
                <w:lang w:val="en-GB"/>
              </w:rPr>
              <w:t>0.1</w:t>
            </w:r>
          </w:p>
        </w:tc>
        <w:tc>
          <w:tcPr>
            <w:tcW w:w="4374" w:type="dxa"/>
          </w:tcPr>
          <w:p w14:paraId="584F06B6" w14:textId="77777777" w:rsidR="003670E2" w:rsidRPr="00EC285E" w:rsidRDefault="004369DF" w:rsidP="002923FE">
            <w:pPr>
              <w:keepNext/>
              <w:keepLines/>
              <w:spacing w:after="0" w:line="276" w:lineRule="auto"/>
              <w:jc w:val="left"/>
              <w:rPr>
                <w:rFonts w:cs="Arial"/>
                <w:lang w:val="en-GB"/>
              </w:rPr>
            </w:pPr>
            <w:bookmarkStart w:id="4" w:name="_Hlk81409814"/>
            <w:r w:rsidRPr="00EC285E">
              <w:rPr>
                <w:rFonts w:cs="Arial"/>
                <w:lang w:val="en-GB"/>
              </w:rPr>
              <w:t xml:space="preserve">Outreach and </w:t>
            </w:r>
            <w:r w:rsidR="00BB6AA8">
              <w:rPr>
                <w:rFonts w:cs="Arial"/>
                <w:lang w:val="en-GB"/>
              </w:rPr>
              <w:t>‘</w:t>
            </w:r>
            <w:r w:rsidRPr="00EC285E">
              <w:rPr>
                <w:rFonts w:cs="Arial"/>
                <w:lang w:val="en-GB"/>
              </w:rPr>
              <w:t>pro-activeness</w:t>
            </w:r>
            <w:r w:rsidR="00BB6AA8">
              <w:rPr>
                <w:rFonts w:cs="Arial"/>
                <w:lang w:val="en-GB"/>
              </w:rPr>
              <w:t>’</w:t>
            </w:r>
            <w:r w:rsidRPr="00EC285E">
              <w:rPr>
                <w:rFonts w:cs="Arial"/>
                <w:lang w:val="en-GB"/>
              </w:rPr>
              <w:t xml:space="preserve"> of </w:t>
            </w:r>
            <w:r w:rsidR="0003294B" w:rsidRPr="00EC285E">
              <w:rPr>
                <w:rFonts w:cs="Arial"/>
                <w:lang w:val="en-GB"/>
              </w:rPr>
              <w:t xml:space="preserve">the </w:t>
            </w:r>
            <w:r w:rsidRPr="00EC285E">
              <w:rPr>
                <w:rFonts w:cs="Arial"/>
                <w:lang w:val="en-GB"/>
              </w:rPr>
              <w:t xml:space="preserve">ECA and </w:t>
            </w:r>
            <w:r w:rsidR="0003294B" w:rsidRPr="00EC285E">
              <w:rPr>
                <w:rFonts w:cs="Arial"/>
                <w:lang w:val="en-GB"/>
              </w:rPr>
              <w:t xml:space="preserve">its </w:t>
            </w:r>
            <w:r w:rsidRPr="00EC285E">
              <w:rPr>
                <w:rFonts w:cs="Arial"/>
                <w:lang w:val="en-GB"/>
              </w:rPr>
              <w:t>governments</w:t>
            </w:r>
            <w:bookmarkEnd w:id="4"/>
          </w:p>
        </w:tc>
        <w:tc>
          <w:tcPr>
            <w:tcW w:w="1472" w:type="dxa"/>
            <w:shd w:val="clear" w:color="auto" w:fill="FFC000"/>
          </w:tcPr>
          <w:p w14:paraId="6AC152D3" w14:textId="5053049E" w:rsidR="003670E2" w:rsidRPr="00EC285E" w:rsidRDefault="009E5B9D" w:rsidP="002923FE">
            <w:pPr>
              <w:keepNext/>
              <w:keepLines/>
              <w:spacing w:after="0" w:line="276" w:lineRule="auto"/>
              <w:jc w:val="left"/>
              <w:rPr>
                <w:rFonts w:cs="Arial"/>
                <w:lang w:val="en-GB"/>
              </w:rPr>
            </w:pPr>
            <w:r>
              <w:rPr>
                <w:rFonts w:cs="Arial"/>
                <w:lang w:val="en-GB"/>
              </w:rPr>
              <w:t>1.00</w:t>
            </w:r>
            <w:r w:rsidR="4FF00766" w:rsidRPr="00EC285E">
              <w:rPr>
                <w:rFonts w:cs="Arial"/>
                <w:lang w:val="en-GB"/>
              </w:rPr>
              <w:t>/3.00</w:t>
            </w:r>
          </w:p>
        </w:tc>
      </w:tr>
      <w:tr w:rsidR="003670E2" w:rsidRPr="00460FCC" w14:paraId="3B0E09BE" w14:textId="77777777" w:rsidTr="002923FE">
        <w:trPr>
          <w:trHeight w:val="63"/>
        </w:trPr>
        <w:tc>
          <w:tcPr>
            <w:tcW w:w="3276" w:type="dxa"/>
            <w:gridSpan w:val="2"/>
          </w:tcPr>
          <w:p w14:paraId="50D48621" w14:textId="77777777" w:rsidR="003670E2" w:rsidRPr="00EC285E" w:rsidRDefault="003670E2" w:rsidP="002923FE">
            <w:pPr>
              <w:keepNext/>
              <w:keepLines/>
              <w:spacing w:after="0" w:line="276" w:lineRule="auto"/>
              <w:jc w:val="right"/>
              <w:rPr>
                <w:rFonts w:cs="Arial"/>
                <w:b/>
                <w:bCs/>
                <w:lang w:val="en-GB"/>
              </w:rPr>
            </w:pPr>
            <w:r w:rsidRPr="00EC285E">
              <w:rPr>
                <w:rFonts w:cs="Arial"/>
                <w:b/>
                <w:bCs/>
                <w:lang w:val="en-GB"/>
              </w:rPr>
              <w:t>Assessment outcome:</w:t>
            </w:r>
          </w:p>
        </w:tc>
        <w:tc>
          <w:tcPr>
            <w:tcW w:w="4374" w:type="dxa"/>
            <w:shd w:val="clear" w:color="auto" w:fill="FF0000"/>
          </w:tcPr>
          <w:p w14:paraId="042A8692" w14:textId="77777777" w:rsidR="003670E2" w:rsidRPr="00EC285E" w:rsidRDefault="001050BF" w:rsidP="002923FE">
            <w:pPr>
              <w:keepNext/>
              <w:keepLines/>
              <w:spacing w:after="0" w:line="276" w:lineRule="auto"/>
              <w:jc w:val="left"/>
              <w:rPr>
                <w:rFonts w:cs="Arial"/>
                <w:b/>
                <w:lang w:val="en-GB"/>
              </w:rPr>
            </w:pPr>
            <w:r>
              <w:rPr>
                <w:rFonts w:cs="Arial"/>
                <w:b/>
                <w:lang w:val="en-GB"/>
              </w:rPr>
              <w:t>Unaligned</w:t>
            </w:r>
            <w:r w:rsidR="4FF00766" w:rsidRPr="00EC285E">
              <w:rPr>
                <w:rFonts w:cs="Arial"/>
                <w:b/>
                <w:lang w:val="en-GB"/>
              </w:rPr>
              <w:t xml:space="preserve"> </w:t>
            </w:r>
          </w:p>
        </w:tc>
        <w:tc>
          <w:tcPr>
            <w:tcW w:w="1472" w:type="dxa"/>
            <w:shd w:val="clear" w:color="auto" w:fill="FF0000"/>
          </w:tcPr>
          <w:p w14:paraId="6E7935B3" w14:textId="1DA7BC80" w:rsidR="003670E2" w:rsidRPr="00EC285E" w:rsidRDefault="4FF00766" w:rsidP="002923FE">
            <w:pPr>
              <w:keepNext/>
              <w:keepLines/>
              <w:spacing w:after="0" w:line="276" w:lineRule="auto"/>
              <w:jc w:val="left"/>
              <w:rPr>
                <w:rFonts w:cs="Arial"/>
                <w:lang w:val="en-GB"/>
              </w:rPr>
            </w:pPr>
            <w:r w:rsidRPr="00EC285E">
              <w:rPr>
                <w:rFonts w:cs="Arial"/>
                <w:lang w:val="en-GB"/>
              </w:rPr>
              <w:t>0.</w:t>
            </w:r>
            <w:r w:rsidR="00945366">
              <w:rPr>
                <w:rFonts w:cs="Arial"/>
                <w:lang w:val="en-GB"/>
              </w:rPr>
              <w:t>4</w:t>
            </w:r>
            <w:r w:rsidR="009E5B9D">
              <w:rPr>
                <w:rFonts w:cs="Arial"/>
                <w:lang w:val="en-GB"/>
              </w:rPr>
              <w:t>9</w:t>
            </w:r>
            <w:r w:rsidRPr="00EC285E">
              <w:rPr>
                <w:rFonts w:cs="Arial"/>
                <w:lang w:val="en-GB"/>
              </w:rPr>
              <w:t>/3.00</w:t>
            </w:r>
          </w:p>
        </w:tc>
      </w:tr>
    </w:tbl>
    <w:p w14:paraId="24987F4A" w14:textId="77777777" w:rsidR="00CF3137" w:rsidRPr="00FC1E5A" w:rsidRDefault="00CF3137" w:rsidP="003670E2">
      <w:pPr>
        <w:rPr>
          <w:rFonts w:cs="Arial"/>
          <w:lang w:val="en-GB"/>
        </w:rPr>
      </w:pPr>
    </w:p>
    <w:p w14:paraId="0957F561" w14:textId="77777777" w:rsidR="001274B2" w:rsidRPr="00FC1E5A" w:rsidRDefault="002F793B" w:rsidP="001274B2">
      <w:pPr>
        <w:pStyle w:val="berschrift1"/>
        <w:rPr>
          <w:rFonts w:ascii="Arial" w:hAnsi="Arial"/>
        </w:rPr>
      </w:pPr>
      <w:bookmarkStart w:id="5" w:name="_Toc84520024"/>
      <w:r w:rsidRPr="00FC1E5A">
        <w:rPr>
          <w:rFonts w:ascii="Arial" w:hAnsi="Arial"/>
        </w:rPr>
        <w:t>Introduction</w:t>
      </w:r>
      <w:bookmarkEnd w:id="5"/>
    </w:p>
    <w:p w14:paraId="0E6D4642" w14:textId="77777777" w:rsidR="001274B2" w:rsidRPr="00FC1E5A" w:rsidRDefault="00A71C41" w:rsidP="00493C62">
      <w:pPr>
        <w:spacing w:before="120" w:after="120"/>
        <w:rPr>
          <w:rFonts w:cs="Arial"/>
          <w:lang w:val="en-GB"/>
        </w:rPr>
      </w:pPr>
      <w:r w:rsidRPr="00FC1E5A">
        <w:rPr>
          <w:rFonts w:cs="Arial"/>
        </w:rPr>
        <w:t xml:space="preserve">Limiting temperature increase to 1.5°C above pre-industrial levels requires massively re-directing financial flows away from carbon-intensive towards low-carbon activities. </w:t>
      </w:r>
      <w:r w:rsidR="001274B2" w:rsidRPr="00FC1E5A">
        <w:rPr>
          <w:rFonts w:cs="Arial"/>
          <w:lang w:val="en-GB"/>
        </w:rPr>
        <w:t xml:space="preserve">However, despite commitments made under </w:t>
      </w:r>
      <w:r w:rsidR="00191DB8" w:rsidRPr="00FC1E5A">
        <w:rPr>
          <w:rFonts w:cs="Arial"/>
          <w:lang w:val="en-GB"/>
        </w:rPr>
        <w:t>Article 2.1</w:t>
      </w:r>
      <w:r w:rsidR="00C75445" w:rsidRPr="00FC1E5A">
        <w:rPr>
          <w:rFonts w:cs="Arial"/>
          <w:lang w:val="en-GB"/>
        </w:rPr>
        <w:t>(</w:t>
      </w:r>
      <w:r w:rsidR="002A60F7" w:rsidRPr="00FC1E5A">
        <w:rPr>
          <w:rFonts w:cs="Arial"/>
          <w:lang w:val="en-GB"/>
        </w:rPr>
        <w:t>c</w:t>
      </w:r>
      <w:r w:rsidR="00C75445" w:rsidRPr="00FC1E5A">
        <w:rPr>
          <w:rFonts w:cs="Arial"/>
          <w:lang w:val="en-GB"/>
        </w:rPr>
        <w:t>)</w:t>
      </w:r>
      <w:r w:rsidR="00191DB8" w:rsidRPr="00FC1E5A">
        <w:rPr>
          <w:rFonts w:cs="Arial"/>
          <w:lang w:val="en-GB"/>
        </w:rPr>
        <w:t xml:space="preserve"> of </w:t>
      </w:r>
      <w:r w:rsidR="001274B2" w:rsidRPr="00FC1E5A">
        <w:rPr>
          <w:rFonts w:cs="Arial"/>
          <w:lang w:val="en-GB"/>
        </w:rPr>
        <w:t>the Paris Agreement</w:t>
      </w:r>
      <w:r w:rsidR="001F3478">
        <w:rPr>
          <w:rFonts w:cs="Arial"/>
          <w:lang w:val="en-GB"/>
        </w:rPr>
        <w:t xml:space="preserve"> –</w:t>
      </w:r>
      <w:r w:rsidR="001D34E9" w:rsidRPr="00FC1E5A">
        <w:rPr>
          <w:rFonts w:cs="Arial"/>
          <w:lang w:val="en-GB"/>
        </w:rPr>
        <w:t xml:space="preserve"> in which Parties agreed to making “</w:t>
      </w:r>
      <w:r w:rsidR="001D34E9" w:rsidRPr="00FC1E5A">
        <w:rPr>
          <w:rFonts w:cs="Arial"/>
          <w:i/>
          <w:iCs/>
          <w:lang w:val="en-GB"/>
        </w:rPr>
        <w:t>finance flows consistent with a pathway towards low greenhouse gas emissions</w:t>
      </w:r>
      <w:r w:rsidR="001D34E9" w:rsidRPr="00FC1E5A">
        <w:rPr>
          <w:rFonts w:cs="Arial"/>
          <w:lang w:val="en-GB"/>
        </w:rPr>
        <w:t xml:space="preserve"> […]” (UNFCCC 2015)</w:t>
      </w:r>
      <w:r w:rsidR="001F3478">
        <w:rPr>
          <w:rFonts w:cs="Arial"/>
          <w:lang w:val="en-GB"/>
        </w:rPr>
        <w:t xml:space="preserve"> –</w:t>
      </w:r>
      <w:r w:rsidR="001274B2" w:rsidRPr="00FC1E5A">
        <w:rPr>
          <w:rFonts w:cs="Arial"/>
          <w:lang w:val="en-GB"/>
        </w:rPr>
        <w:t xml:space="preserve"> many countries still provide significant financial support to fossil fuel</w:t>
      </w:r>
      <w:r w:rsidR="00F617C6" w:rsidRPr="00FC1E5A">
        <w:rPr>
          <w:rFonts w:cs="Arial"/>
          <w:lang w:val="en-GB"/>
        </w:rPr>
        <w:t xml:space="preserve"> value chains</w:t>
      </w:r>
      <w:r w:rsidR="00E172DC" w:rsidRPr="00FC1E5A">
        <w:rPr>
          <w:rFonts w:cs="Arial"/>
          <w:lang w:val="en-GB"/>
        </w:rPr>
        <w:t>, among others, through their export credit agencies (ECAs)</w:t>
      </w:r>
      <w:r w:rsidR="00E87895">
        <w:rPr>
          <w:rFonts w:cs="Arial"/>
          <w:lang w:val="en-GB"/>
        </w:rPr>
        <w:t>. T</w:t>
      </w:r>
      <w:r w:rsidR="009044B6" w:rsidRPr="00FC1E5A">
        <w:rPr>
          <w:rFonts w:cs="Arial"/>
          <w:lang w:val="en-GB"/>
        </w:rPr>
        <w:t>h</w:t>
      </w:r>
      <w:r w:rsidR="00E87895">
        <w:rPr>
          <w:rFonts w:cs="Arial"/>
          <w:lang w:val="en-GB"/>
        </w:rPr>
        <w:t>i</w:t>
      </w:r>
      <w:r w:rsidR="009044B6" w:rsidRPr="00FC1E5A">
        <w:rPr>
          <w:rFonts w:cs="Arial"/>
          <w:lang w:val="en-GB"/>
        </w:rPr>
        <w:t xml:space="preserve">s </w:t>
      </w:r>
      <w:r w:rsidR="00E87895" w:rsidRPr="00FC1E5A">
        <w:rPr>
          <w:rFonts w:cs="Arial"/>
          <w:lang w:val="en-GB"/>
        </w:rPr>
        <w:t>contribut</w:t>
      </w:r>
      <w:r w:rsidR="00E87895">
        <w:rPr>
          <w:rFonts w:cs="Arial"/>
          <w:lang w:val="en-GB"/>
        </w:rPr>
        <w:t>es</w:t>
      </w:r>
      <w:r w:rsidR="00E87895" w:rsidRPr="00FC1E5A">
        <w:rPr>
          <w:rFonts w:cs="Arial"/>
          <w:lang w:val="en-GB"/>
        </w:rPr>
        <w:t xml:space="preserve"> </w:t>
      </w:r>
      <w:r w:rsidR="009044B6" w:rsidRPr="00FC1E5A">
        <w:rPr>
          <w:rFonts w:cs="Arial"/>
          <w:lang w:val="en-GB"/>
        </w:rPr>
        <w:t xml:space="preserve">to </w:t>
      </w:r>
      <w:r w:rsidR="00642F23" w:rsidRPr="00FC1E5A">
        <w:rPr>
          <w:rFonts w:cs="Arial"/>
          <w:lang w:val="en-GB"/>
        </w:rPr>
        <w:t xml:space="preserve">a global </w:t>
      </w:r>
      <w:r w:rsidR="009044B6" w:rsidRPr="00FC1E5A">
        <w:rPr>
          <w:rFonts w:cs="Arial"/>
          <w:lang w:val="en-GB"/>
        </w:rPr>
        <w:t>lock-</w:t>
      </w:r>
      <w:r w:rsidR="003670E2" w:rsidRPr="00FC1E5A">
        <w:rPr>
          <w:rFonts w:cs="Arial"/>
          <w:lang w:val="en-GB"/>
        </w:rPr>
        <w:t>in</w:t>
      </w:r>
      <w:r w:rsidR="00E87895">
        <w:rPr>
          <w:rFonts w:cs="Arial"/>
          <w:lang w:val="en-GB"/>
        </w:rPr>
        <w:t xml:space="preserve"> of carbon intensive infrastructures</w:t>
      </w:r>
      <w:r w:rsidR="00B036EB">
        <w:rPr>
          <w:rFonts w:cs="Arial"/>
          <w:lang w:val="en-GB"/>
        </w:rPr>
        <w:t xml:space="preserve"> and hamper</w:t>
      </w:r>
      <w:r w:rsidR="00E87895">
        <w:rPr>
          <w:rFonts w:cs="Arial"/>
          <w:lang w:val="en-GB"/>
        </w:rPr>
        <w:t>s</w:t>
      </w:r>
      <w:r w:rsidR="00B036EB">
        <w:rPr>
          <w:rFonts w:cs="Arial"/>
          <w:lang w:val="en-GB"/>
        </w:rPr>
        <w:t xml:space="preserve"> leap-frogging of </w:t>
      </w:r>
      <w:r w:rsidR="00E87895">
        <w:rPr>
          <w:rFonts w:cs="Arial"/>
          <w:lang w:val="en-GB"/>
        </w:rPr>
        <w:t xml:space="preserve">carbon-intensive development in </w:t>
      </w:r>
      <w:r w:rsidR="00A66741">
        <w:rPr>
          <w:rFonts w:cs="Arial"/>
          <w:lang w:val="en-GB"/>
        </w:rPr>
        <w:t>countries in the global South</w:t>
      </w:r>
      <w:r w:rsidR="001274B2" w:rsidRPr="00FC1E5A">
        <w:rPr>
          <w:rFonts w:cs="Arial"/>
          <w:lang w:val="en-GB"/>
        </w:rPr>
        <w:t>. DeAngelis and Tucker (2020) estimated that from 2016 to 2018, ECAs of G20 countries provided an annual average of US</w:t>
      </w:r>
      <w:r w:rsidR="00D06403" w:rsidRPr="00FC1E5A">
        <w:rPr>
          <w:rFonts w:cs="Arial"/>
          <w:lang w:val="en-GB"/>
        </w:rPr>
        <w:t>$</w:t>
      </w:r>
      <w:r w:rsidR="001274B2" w:rsidRPr="00FC1E5A">
        <w:rPr>
          <w:rFonts w:cs="Arial"/>
          <w:lang w:val="en-GB"/>
        </w:rPr>
        <w:t xml:space="preserve"> 40.1 billion to support fossil fuel projects, while clean energy was supported </w:t>
      </w:r>
      <w:r w:rsidR="002A60F7" w:rsidRPr="00FC1E5A">
        <w:rPr>
          <w:rFonts w:cs="Arial"/>
          <w:lang w:val="en-GB"/>
        </w:rPr>
        <w:t>with</w:t>
      </w:r>
      <w:r w:rsidR="001274B2" w:rsidRPr="00FC1E5A">
        <w:rPr>
          <w:rFonts w:cs="Arial"/>
          <w:lang w:val="en-GB"/>
        </w:rPr>
        <w:t xml:space="preserve"> </w:t>
      </w:r>
      <w:r w:rsidR="00EA492D" w:rsidRPr="00FC1E5A">
        <w:rPr>
          <w:rFonts w:cs="Arial"/>
          <w:lang w:val="en-GB"/>
        </w:rPr>
        <w:t xml:space="preserve">only </w:t>
      </w:r>
      <w:r w:rsidR="001274B2" w:rsidRPr="00FC1E5A">
        <w:rPr>
          <w:rFonts w:cs="Arial"/>
          <w:lang w:val="en-GB"/>
        </w:rPr>
        <w:t>US</w:t>
      </w:r>
      <w:r w:rsidR="00D06403" w:rsidRPr="00FC1E5A">
        <w:rPr>
          <w:rFonts w:cs="Arial"/>
          <w:lang w:val="en-GB"/>
        </w:rPr>
        <w:t>$</w:t>
      </w:r>
      <w:r w:rsidR="001274B2" w:rsidRPr="00FC1E5A">
        <w:rPr>
          <w:rFonts w:cs="Arial"/>
          <w:lang w:val="en-GB"/>
        </w:rPr>
        <w:t xml:space="preserve"> 2.9 billion annually.</w:t>
      </w:r>
      <w:r w:rsidR="00894C0F">
        <w:rPr>
          <w:rFonts w:cs="Arial"/>
          <w:lang w:val="en-GB"/>
        </w:rPr>
        <w:t xml:space="preserve"> </w:t>
      </w:r>
      <w:r w:rsidR="00E87895">
        <w:rPr>
          <w:rFonts w:cs="Arial"/>
          <w:lang w:val="en-GB"/>
        </w:rPr>
        <w:t>Since 2019, o</w:t>
      </w:r>
      <w:r w:rsidR="00894C0F">
        <w:rPr>
          <w:rFonts w:cs="Arial"/>
          <w:lang w:val="en-GB"/>
        </w:rPr>
        <w:t xml:space="preserve">f all public finance institutions (PFIs), </w:t>
      </w:r>
      <w:r w:rsidR="00582EFD">
        <w:rPr>
          <w:rFonts w:cs="Arial"/>
          <w:lang w:val="en-GB"/>
        </w:rPr>
        <w:t xml:space="preserve">G20 </w:t>
      </w:r>
      <w:r w:rsidR="00894C0F">
        <w:rPr>
          <w:rFonts w:cs="Arial"/>
          <w:lang w:val="en-GB"/>
        </w:rPr>
        <w:t xml:space="preserve">ECAs </w:t>
      </w:r>
      <w:r w:rsidR="00472027">
        <w:rPr>
          <w:rFonts w:cs="Arial"/>
          <w:lang w:val="en-GB"/>
        </w:rPr>
        <w:t xml:space="preserve">make </w:t>
      </w:r>
      <w:r w:rsidR="00E87895">
        <w:rPr>
          <w:rFonts w:cs="Arial"/>
          <w:lang w:val="en-GB"/>
        </w:rPr>
        <w:t>up</w:t>
      </w:r>
      <w:r w:rsidR="00472027">
        <w:rPr>
          <w:rFonts w:cs="Arial"/>
          <w:lang w:val="en-GB"/>
        </w:rPr>
        <w:t xml:space="preserve"> the single largest </w:t>
      </w:r>
      <w:r w:rsidR="00527FE7">
        <w:rPr>
          <w:rFonts w:cs="Arial"/>
          <w:lang w:val="en-GB"/>
        </w:rPr>
        <w:t>group</w:t>
      </w:r>
      <w:r w:rsidR="00472027">
        <w:rPr>
          <w:rFonts w:cs="Arial"/>
          <w:lang w:val="en-GB"/>
        </w:rPr>
        <w:t xml:space="preserve"> providing financial support for fossil fuels</w:t>
      </w:r>
      <w:r w:rsidR="00E87895">
        <w:rPr>
          <w:rFonts w:cs="Arial"/>
          <w:lang w:val="en-GB"/>
        </w:rPr>
        <w:t xml:space="preserve">, which is </w:t>
      </w:r>
      <w:r w:rsidR="00472027">
        <w:rPr>
          <w:rFonts w:cs="Arial"/>
          <w:lang w:val="en-GB"/>
        </w:rPr>
        <w:t xml:space="preserve">even </w:t>
      </w:r>
      <w:r w:rsidR="00E87895">
        <w:rPr>
          <w:rFonts w:cs="Arial"/>
          <w:lang w:val="en-GB"/>
        </w:rPr>
        <w:t>higher than</w:t>
      </w:r>
      <w:r w:rsidR="00472027">
        <w:rPr>
          <w:rFonts w:cs="Arial"/>
          <w:lang w:val="en-GB"/>
        </w:rPr>
        <w:t xml:space="preserve"> (bilateral) public development banks </w:t>
      </w:r>
      <w:r w:rsidR="003717A6">
        <w:rPr>
          <w:rFonts w:cs="Arial"/>
          <w:lang w:val="en-GB"/>
        </w:rPr>
        <w:t>(Oil Change International 2021).</w:t>
      </w:r>
      <w:r w:rsidR="001274B2" w:rsidRPr="00FC1E5A">
        <w:rPr>
          <w:rFonts w:cs="Arial"/>
          <w:lang w:val="en-GB"/>
        </w:rPr>
        <w:t xml:space="preserve"> </w:t>
      </w:r>
      <w:r w:rsidR="00333817">
        <w:rPr>
          <w:rFonts w:cs="Arial"/>
          <w:lang w:val="en-GB"/>
        </w:rPr>
        <w:t xml:space="preserve">An ECA is </w:t>
      </w:r>
      <w:r w:rsidR="001274B2" w:rsidRPr="00FC1E5A">
        <w:rPr>
          <w:rFonts w:cs="Arial"/>
          <w:lang w:val="en-GB"/>
        </w:rPr>
        <w:t>often decisive in whether a deal can be realised</w:t>
      </w:r>
      <w:r w:rsidR="00F46CED" w:rsidRPr="00FC1E5A">
        <w:rPr>
          <w:rFonts w:cs="Arial"/>
          <w:lang w:val="en-GB"/>
        </w:rPr>
        <w:t xml:space="preserve">, </w:t>
      </w:r>
      <w:r w:rsidR="001274B2" w:rsidRPr="00FC1E5A">
        <w:rPr>
          <w:rFonts w:cs="Arial"/>
          <w:lang w:val="en-GB"/>
        </w:rPr>
        <w:t xml:space="preserve">e.g., by </w:t>
      </w:r>
      <w:r w:rsidR="00CC2A7D" w:rsidRPr="00FC1E5A">
        <w:rPr>
          <w:rFonts w:cs="Arial"/>
          <w:lang w:val="en-GB"/>
        </w:rPr>
        <w:t xml:space="preserve">providing risk insurance or </w:t>
      </w:r>
      <w:r w:rsidR="00F46CED" w:rsidRPr="00FC1E5A">
        <w:rPr>
          <w:rFonts w:cs="Arial"/>
          <w:lang w:val="en-GB"/>
        </w:rPr>
        <w:t xml:space="preserve">improving </w:t>
      </w:r>
      <w:r w:rsidR="00CC2A7D" w:rsidRPr="00FC1E5A">
        <w:rPr>
          <w:rFonts w:cs="Arial"/>
          <w:lang w:val="en-GB"/>
        </w:rPr>
        <w:t>lending</w:t>
      </w:r>
      <w:r w:rsidR="00F46CED" w:rsidRPr="00FC1E5A">
        <w:rPr>
          <w:rFonts w:cs="Arial"/>
          <w:lang w:val="en-GB"/>
        </w:rPr>
        <w:t xml:space="preserve"> conditions of banks</w:t>
      </w:r>
      <w:r w:rsidR="001274B2" w:rsidRPr="00FC1E5A">
        <w:rPr>
          <w:rFonts w:cs="Arial"/>
          <w:lang w:val="en-GB"/>
        </w:rPr>
        <w:t xml:space="preserve"> </w:t>
      </w:r>
      <w:r w:rsidR="00F46CED" w:rsidRPr="00FC1E5A">
        <w:rPr>
          <w:rFonts w:cs="Arial"/>
          <w:lang w:val="en-GB"/>
        </w:rPr>
        <w:t>which finance export transactions.</w:t>
      </w:r>
      <w:r w:rsidR="006A2384" w:rsidRPr="00FC1E5A">
        <w:rPr>
          <w:rFonts w:cs="Arial"/>
          <w:lang w:val="en-GB"/>
        </w:rPr>
        <w:t xml:space="preserve"> </w:t>
      </w:r>
      <w:r w:rsidR="00DF3AF2" w:rsidRPr="00FC1E5A">
        <w:rPr>
          <w:rFonts w:cs="Arial"/>
          <w:lang w:val="en-GB"/>
        </w:rPr>
        <w:t xml:space="preserve">Several </w:t>
      </w:r>
      <w:r w:rsidR="003C4C5E" w:rsidRPr="00FC1E5A">
        <w:rPr>
          <w:rFonts w:cs="Arial"/>
          <w:lang w:val="en-GB"/>
        </w:rPr>
        <w:t xml:space="preserve">recent </w:t>
      </w:r>
      <w:r w:rsidR="001274B2" w:rsidRPr="00FC1E5A">
        <w:rPr>
          <w:rFonts w:cs="Arial"/>
          <w:lang w:val="en-GB"/>
        </w:rPr>
        <w:t>stud</w:t>
      </w:r>
      <w:r w:rsidR="006A2384" w:rsidRPr="00FC1E5A">
        <w:rPr>
          <w:rFonts w:cs="Arial"/>
          <w:lang w:val="en-GB"/>
        </w:rPr>
        <w:t>ies</w:t>
      </w:r>
      <w:r w:rsidR="001274B2" w:rsidRPr="00FC1E5A">
        <w:rPr>
          <w:rFonts w:cs="Arial"/>
          <w:lang w:val="en-GB"/>
        </w:rPr>
        <w:t xml:space="preserve"> </w:t>
      </w:r>
      <w:r w:rsidR="006A2384" w:rsidRPr="00FC1E5A">
        <w:rPr>
          <w:rFonts w:cs="Arial"/>
          <w:lang w:val="en-GB"/>
        </w:rPr>
        <w:t>underline</w:t>
      </w:r>
      <w:r w:rsidR="003C4C5E" w:rsidRPr="00FC1E5A">
        <w:rPr>
          <w:rFonts w:cs="Arial"/>
          <w:lang w:val="en-GB"/>
        </w:rPr>
        <w:t>d</w:t>
      </w:r>
      <w:r w:rsidR="006A2384" w:rsidRPr="00FC1E5A">
        <w:rPr>
          <w:rFonts w:cs="Arial"/>
          <w:lang w:val="en-GB"/>
        </w:rPr>
        <w:t xml:space="preserve"> the </w:t>
      </w:r>
      <w:r w:rsidR="00DF3AF2" w:rsidRPr="00FC1E5A">
        <w:rPr>
          <w:rFonts w:cs="Arial"/>
          <w:lang w:val="en-GB"/>
        </w:rPr>
        <w:t>lack of dedicated climate policies and transparency</w:t>
      </w:r>
      <w:r w:rsidR="006A2384" w:rsidRPr="00FC1E5A">
        <w:rPr>
          <w:rFonts w:cs="Arial"/>
          <w:lang w:val="en-GB"/>
        </w:rPr>
        <w:t xml:space="preserve"> of ECAs</w:t>
      </w:r>
      <w:r w:rsidR="003C4C5E" w:rsidRPr="00FC1E5A">
        <w:rPr>
          <w:rFonts w:cs="Arial"/>
          <w:lang w:val="en-GB"/>
        </w:rPr>
        <w:t xml:space="preserve"> (e.g., Shishlov et al. 2020; </w:t>
      </w:r>
      <w:proofErr w:type="spellStart"/>
      <w:r w:rsidR="003C4C5E" w:rsidRPr="00FC1E5A">
        <w:rPr>
          <w:rFonts w:cs="Arial"/>
          <w:lang w:val="en-GB"/>
        </w:rPr>
        <w:t>Wenidoppler</w:t>
      </w:r>
      <w:proofErr w:type="spellEnd"/>
      <w:r w:rsidR="003C4C5E" w:rsidRPr="00FC1E5A">
        <w:rPr>
          <w:rFonts w:cs="Arial"/>
          <w:lang w:val="en-GB"/>
        </w:rPr>
        <w:t xml:space="preserve"> et al. 2017) as well as potential</w:t>
      </w:r>
      <w:r w:rsidR="006A2384" w:rsidRPr="00FC1E5A">
        <w:rPr>
          <w:rFonts w:cs="Arial"/>
          <w:lang w:val="en-GB"/>
        </w:rPr>
        <w:t xml:space="preserve"> </w:t>
      </w:r>
      <w:r w:rsidR="003C4C5E" w:rsidRPr="00FC1E5A">
        <w:rPr>
          <w:rFonts w:cs="Arial"/>
          <w:lang w:val="en-GB"/>
        </w:rPr>
        <w:t>litigation</w:t>
      </w:r>
      <w:r w:rsidR="009C231F" w:rsidRPr="00FC1E5A">
        <w:rPr>
          <w:rFonts w:cs="Arial"/>
          <w:lang w:val="en-GB"/>
        </w:rPr>
        <w:t xml:space="preserve"> if no action is undertaken</w:t>
      </w:r>
      <w:r w:rsidR="003C4C5E" w:rsidRPr="00FC1E5A">
        <w:rPr>
          <w:rFonts w:cs="Arial"/>
          <w:lang w:val="en-GB"/>
        </w:rPr>
        <w:t xml:space="preserve"> (Cook and </w:t>
      </w:r>
      <w:r w:rsidR="00BF5E5B" w:rsidRPr="00FC1E5A">
        <w:rPr>
          <w:rFonts w:cs="Arial"/>
          <w:lang w:val="en-GB"/>
        </w:rPr>
        <w:t>Viñuales 2021).</w:t>
      </w:r>
    </w:p>
    <w:p w14:paraId="112D186A" w14:textId="77777777" w:rsidR="005D3FD5" w:rsidRPr="00EC285E" w:rsidRDefault="00D75128" w:rsidP="00AF7FCF">
      <w:pPr>
        <w:pStyle w:val="Beschriftung"/>
        <w:spacing w:after="0"/>
        <w:rPr>
          <w:sz w:val="20"/>
          <w:szCs w:val="20"/>
        </w:rPr>
      </w:pPr>
      <w:r w:rsidRPr="00EC285E">
        <w:rPr>
          <w:sz w:val="20"/>
          <w:szCs w:val="20"/>
        </w:rPr>
        <w:t xml:space="preserve">Text </w:t>
      </w:r>
      <w:r w:rsidR="00996B20" w:rsidRPr="00EC285E">
        <w:rPr>
          <w:sz w:val="20"/>
          <w:szCs w:val="20"/>
        </w:rPr>
        <w:t>b</w:t>
      </w:r>
      <w:r w:rsidR="005D3FD5" w:rsidRPr="00EC285E">
        <w:rPr>
          <w:sz w:val="20"/>
          <w:szCs w:val="20"/>
        </w:rPr>
        <w:t xml:space="preserve">ox </w:t>
      </w:r>
      <w:r w:rsidR="005D3FD5" w:rsidRPr="00EC285E">
        <w:rPr>
          <w:sz w:val="20"/>
          <w:szCs w:val="20"/>
        </w:rPr>
        <w:fldChar w:fldCharType="begin"/>
      </w:r>
      <w:r w:rsidR="005D3FD5" w:rsidRPr="00EC285E">
        <w:rPr>
          <w:sz w:val="20"/>
          <w:szCs w:val="20"/>
        </w:rPr>
        <w:instrText xml:space="preserve"> SEQ Box \* ARABIC </w:instrText>
      </w:r>
      <w:r w:rsidR="005D3FD5" w:rsidRPr="00EC285E">
        <w:rPr>
          <w:sz w:val="20"/>
          <w:szCs w:val="20"/>
        </w:rPr>
        <w:fldChar w:fldCharType="separate"/>
      </w:r>
      <w:r w:rsidR="005D3FD5" w:rsidRPr="00EC285E">
        <w:rPr>
          <w:noProof/>
          <w:sz w:val="20"/>
          <w:szCs w:val="20"/>
        </w:rPr>
        <w:t>1</w:t>
      </w:r>
      <w:r w:rsidR="005D3FD5" w:rsidRPr="00EC285E">
        <w:rPr>
          <w:sz w:val="20"/>
          <w:szCs w:val="20"/>
        </w:rPr>
        <w:fldChar w:fldCharType="end"/>
      </w:r>
      <w:r w:rsidR="005D3FD5" w:rsidRPr="00EC285E">
        <w:rPr>
          <w:sz w:val="20"/>
          <w:szCs w:val="20"/>
        </w:rPr>
        <w:t xml:space="preserve">: </w:t>
      </w:r>
      <w:r w:rsidR="00E117D5" w:rsidRPr="00EC285E">
        <w:rPr>
          <w:sz w:val="20"/>
          <w:szCs w:val="20"/>
        </w:rPr>
        <w:t xml:space="preserve">What are </w:t>
      </w:r>
      <w:r w:rsidR="005D3FD5" w:rsidRPr="00EC285E">
        <w:rPr>
          <w:sz w:val="20"/>
          <w:szCs w:val="20"/>
        </w:rPr>
        <w:t>Export Credit Agencies</w:t>
      </w:r>
      <w:r w:rsidR="00E117D5" w:rsidRPr="00EC285E">
        <w:rPr>
          <w:sz w:val="20"/>
          <w:szCs w:val="20"/>
        </w:rPr>
        <w:t>?</w:t>
      </w:r>
    </w:p>
    <w:tbl>
      <w:tblPr>
        <w:tblStyle w:val="Tabellenraster"/>
        <w:tblW w:w="0" w:type="auto"/>
        <w:tblLook w:val="04A0" w:firstRow="1" w:lastRow="0" w:firstColumn="1" w:lastColumn="0" w:noHBand="0" w:noVBand="1"/>
      </w:tblPr>
      <w:tblGrid>
        <w:gridCol w:w="9016"/>
      </w:tblGrid>
      <w:tr w:rsidR="00493C62" w:rsidRPr="00460FCC" w14:paraId="60571F4A" w14:textId="77777777" w:rsidTr="00493C62">
        <w:tc>
          <w:tcPr>
            <w:tcW w:w="9016" w:type="dxa"/>
          </w:tcPr>
          <w:p w14:paraId="0A0E4419" w14:textId="470D22D6" w:rsidR="00493C62" w:rsidRPr="00EC285E" w:rsidRDefault="00493C62" w:rsidP="00AF7FCF">
            <w:pPr>
              <w:spacing w:before="120" w:after="0"/>
              <w:rPr>
                <w:szCs w:val="24"/>
                <w:lang w:val="en-GB"/>
              </w:rPr>
            </w:pPr>
            <w:r w:rsidRPr="00EC285E">
              <w:rPr>
                <w:szCs w:val="24"/>
                <w:lang w:val="en-GB"/>
              </w:rPr>
              <w:t xml:space="preserve">ECAs are either private </w:t>
            </w:r>
            <w:r w:rsidR="008536BC" w:rsidRPr="00EC285E">
              <w:rPr>
                <w:szCs w:val="24"/>
                <w:lang w:val="en-GB"/>
              </w:rPr>
              <w:t>companies</w:t>
            </w:r>
            <w:r w:rsidRPr="00EC285E">
              <w:rPr>
                <w:szCs w:val="24"/>
                <w:lang w:val="en-GB"/>
              </w:rPr>
              <w:t xml:space="preserve"> that act on behalf of </w:t>
            </w:r>
            <w:r w:rsidR="00F93B84" w:rsidRPr="00EC285E">
              <w:rPr>
                <w:szCs w:val="24"/>
                <w:lang w:val="en-GB"/>
              </w:rPr>
              <w:t xml:space="preserve">a </w:t>
            </w:r>
            <w:r w:rsidRPr="00EC285E">
              <w:rPr>
                <w:szCs w:val="24"/>
                <w:lang w:val="en-GB"/>
              </w:rPr>
              <w:t xml:space="preserve">government or </w:t>
            </w:r>
            <w:r w:rsidR="00CE0696" w:rsidRPr="00EC285E">
              <w:rPr>
                <w:szCs w:val="24"/>
                <w:lang w:val="en-GB"/>
              </w:rPr>
              <w:t xml:space="preserve">public entities </w:t>
            </w:r>
            <w:r w:rsidRPr="00EC285E">
              <w:rPr>
                <w:szCs w:val="24"/>
                <w:lang w:val="en-GB"/>
              </w:rPr>
              <w:t>themselves (OECD 2021</w:t>
            </w:r>
            <w:r w:rsidR="005A0FB1">
              <w:rPr>
                <w:szCs w:val="24"/>
                <w:lang w:val="en-GB"/>
              </w:rPr>
              <w:t>a</w:t>
            </w:r>
            <w:r w:rsidRPr="00EC285E">
              <w:rPr>
                <w:szCs w:val="24"/>
                <w:lang w:val="en-GB"/>
              </w:rPr>
              <w:t xml:space="preserve">). Their </w:t>
            </w:r>
            <w:r w:rsidRPr="00EC285E">
              <w:rPr>
                <w:i/>
                <w:szCs w:val="24"/>
                <w:lang w:val="en-GB"/>
              </w:rPr>
              <w:t>raison d´être</w:t>
            </w:r>
            <w:r w:rsidRPr="00EC285E">
              <w:rPr>
                <w:szCs w:val="24"/>
                <w:lang w:val="en-GB"/>
              </w:rPr>
              <w:t xml:space="preserve"> is the promotion of the trade and national export businesses competing for riskier markets abroad (Shishlov et al. 2020; OECD 2021</w:t>
            </w:r>
            <w:r w:rsidR="005A0FB1">
              <w:rPr>
                <w:szCs w:val="24"/>
                <w:lang w:val="en-GB"/>
              </w:rPr>
              <w:t>a</w:t>
            </w:r>
            <w:r w:rsidRPr="00EC285E">
              <w:rPr>
                <w:szCs w:val="24"/>
                <w:lang w:val="en-GB"/>
              </w:rPr>
              <w:t>). ECAs provide, for example, guarantees to hedge against risks of an exporter or lender not being repaid, e.g., due to political instability, expropriation, or unexpected currency fluctuations. They can also act as direct lenders with short-, medium- or long-term loans and may provide earmarked project finance or even equity instruments.</w:t>
            </w:r>
            <w:r w:rsidR="00A900F4" w:rsidRPr="00EC285E">
              <w:rPr>
                <w:szCs w:val="24"/>
                <w:lang w:val="en-GB"/>
              </w:rPr>
              <w:t xml:space="preserve"> In return, they receive risk premiums or interest payments.</w:t>
            </w:r>
            <w:r w:rsidRPr="00EC285E">
              <w:rPr>
                <w:szCs w:val="24"/>
                <w:lang w:val="en-GB"/>
              </w:rPr>
              <w:t xml:space="preserve"> </w:t>
            </w:r>
            <w:r w:rsidR="00BF5E18" w:rsidRPr="00EC285E">
              <w:rPr>
                <w:szCs w:val="24"/>
                <w:lang w:val="en-GB"/>
              </w:rPr>
              <w:t xml:space="preserve">In the case of repayment loss, ECAs compensate exporters or lenders directly whilst being in the position to draw </w:t>
            </w:r>
            <w:r w:rsidR="00BF5E18" w:rsidRPr="00EC285E">
              <w:rPr>
                <w:szCs w:val="24"/>
                <w:lang w:val="en-GB"/>
              </w:rPr>
              <w:lastRenderedPageBreak/>
              <w:t>up a debt settlement arrangement with the Paris Club</w:t>
            </w:r>
            <w:r w:rsidR="00166A15" w:rsidRPr="00EC285E">
              <w:rPr>
                <w:rStyle w:val="Funotenzeichen"/>
                <w:szCs w:val="24"/>
                <w:lang w:val="en-GB"/>
              </w:rPr>
              <w:footnoteReference w:id="3"/>
            </w:r>
            <w:r w:rsidR="00BF5E18" w:rsidRPr="00EC285E">
              <w:rPr>
                <w:szCs w:val="24"/>
                <w:lang w:val="en-GB"/>
              </w:rPr>
              <w:t xml:space="preserve">. </w:t>
            </w:r>
            <w:r w:rsidR="00715B30" w:rsidRPr="00EC285E">
              <w:rPr>
                <w:szCs w:val="24"/>
                <w:lang w:val="en-GB"/>
              </w:rPr>
              <w:t xml:space="preserve">Opting for a state-backed </w:t>
            </w:r>
            <w:r w:rsidR="005235EC" w:rsidRPr="00EC285E">
              <w:rPr>
                <w:szCs w:val="24"/>
                <w:lang w:val="en-GB"/>
              </w:rPr>
              <w:t>transaction can significantly de-risk</w:t>
            </w:r>
            <w:r w:rsidR="00105C56" w:rsidRPr="00EC285E">
              <w:rPr>
                <w:szCs w:val="24"/>
                <w:lang w:val="en-GB"/>
              </w:rPr>
              <w:t xml:space="preserve"> </w:t>
            </w:r>
            <w:r w:rsidR="005235EC" w:rsidRPr="00EC285E">
              <w:rPr>
                <w:szCs w:val="24"/>
                <w:lang w:val="en-GB"/>
              </w:rPr>
              <w:t xml:space="preserve">deals </w:t>
            </w:r>
            <w:r w:rsidR="00715B30" w:rsidRPr="00EC285E">
              <w:rPr>
                <w:szCs w:val="24"/>
                <w:lang w:val="en-GB"/>
              </w:rPr>
              <w:t xml:space="preserve">for exporters </w:t>
            </w:r>
            <w:r w:rsidR="005235EC" w:rsidRPr="00EC285E">
              <w:rPr>
                <w:szCs w:val="24"/>
                <w:lang w:val="en-GB"/>
              </w:rPr>
              <w:t xml:space="preserve">and </w:t>
            </w:r>
            <w:r w:rsidRPr="00EC285E">
              <w:rPr>
                <w:szCs w:val="24"/>
                <w:lang w:val="en-GB"/>
              </w:rPr>
              <w:t>crowd</w:t>
            </w:r>
            <w:r w:rsidR="00954B03" w:rsidRPr="00EC285E">
              <w:rPr>
                <w:szCs w:val="24"/>
                <w:lang w:val="en-GB"/>
              </w:rPr>
              <w:t xml:space="preserve"> in</w:t>
            </w:r>
            <w:r w:rsidR="005235EC" w:rsidRPr="00EC285E">
              <w:rPr>
                <w:szCs w:val="24"/>
                <w:lang w:val="en-GB"/>
              </w:rPr>
              <w:t xml:space="preserve"> public or</w:t>
            </w:r>
            <w:r w:rsidRPr="00EC285E">
              <w:rPr>
                <w:szCs w:val="24"/>
                <w:lang w:val="en-GB"/>
              </w:rPr>
              <w:t xml:space="preserve"> private </w:t>
            </w:r>
            <w:r w:rsidR="005235EC" w:rsidRPr="00EC285E">
              <w:rPr>
                <w:szCs w:val="24"/>
                <w:lang w:val="en-GB"/>
              </w:rPr>
              <w:t>co-</w:t>
            </w:r>
            <w:r w:rsidRPr="00EC285E">
              <w:rPr>
                <w:szCs w:val="24"/>
                <w:lang w:val="en-GB"/>
              </w:rPr>
              <w:t>finance</w:t>
            </w:r>
            <w:r w:rsidR="0069383C" w:rsidRPr="00EC285E">
              <w:rPr>
                <w:szCs w:val="24"/>
                <w:lang w:val="en-GB"/>
              </w:rPr>
              <w:t>, especially for large-scale, long-term or particularly risky projects</w:t>
            </w:r>
            <w:r w:rsidR="005235EC" w:rsidRPr="00EC285E">
              <w:rPr>
                <w:szCs w:val="24"/>
                <w:lang w:val="en-GB"/>
              </w:rPr>
              <w:t>.</w:t>
            </w:r>
            <w:r w:rsidR="0069383C" w:rsidRPr="00EC285E">
              <w:rPr>
                <w:szCs w:val="24"/>
                <w:lang w:val="en-GB"/>
              </w:rPr>
              <w:t xml:space="preserve"> Many ECAs require exporters or banks to demonstrate that </w:t>
            </w:r>
            <w:r w:rsidR="005C30B3" w:rsidRPr="00EC285E">
              <w:rPr>
                <w:szCs w:val="24"/>
                <w:lang w:val="en-GB"/>
              </w:rPr>
              <w:t>private export credit insurance would not cover the deal</w:t>
            </w:r>
            <w:r w:rsidR="00E5380E" w:rsidRPr="00EC285E">
              <w:rPr>
                <w:szCs w:val="24"/>
                <w:lang w:val="en-GB"/>
              </w:rPr>
              <w:t xml:space="preserve">. </w:t>
            </w:r>
            <w:r w:rsidR="0069383C" w:rsidRPr="00EC285E">
              <w:rPr>
                <w:szCs w:val="24"/>
                <w:lang w:val="en-GB"/>
              </w:rPr>
              <w:t>This situation is reflected in the fact that among Berne Union members</w:t>
            </w:r>
            <w:r w:rsidR="001F3478">
              <w:rPr>
                <w:szCs w:val="24"/>
                <w:lang w:val="en-GB"/>
              </w:rPr>
              <w:t xml:space="preserve"> –</w:t>
            </w:r>
            <w:r w:rsidR="0069383C" w:rsidRPr="00EC285E">
              <w:rPr>
                <w:szCs w:val="24"/>
                <w:lang w:val="en-GB"/>
              </w:rPr>
              <w:t xml:space="preserve"> the largest association for the export credit and investment insurance industry worldwide</w:t>
            </w:r>
            <w:r w:rsidR="001F3478">
              <w:rPr>
                <w:szCs w:val="24"/>
                <w:lang w:val="en-GB"/>
              </w:rPr>
              <w:t xml:space="preserve"> –</w:t>
            </w:r>
            <w:r w:rsidR="0069383C" w:rsidRPr="00EC285E">
              <w:rPr>
                <w:szCs w:val="24"/>
                <w:lang w:val="en-GB"/>
              </w:rPr>
              <w:t xml:space="preserve"> official ECAs predominantly provide </w:t>
            </w:r>
            <w:r w:rsidR="00750EA2" w:rsidRPr="00EC285E">
              <w:rPr>
                <w:szCs w:val="24"/>
                <w:lang w:val="en-GB"/>
              </w:rPr>
              <w:t xml:space="preserve">long-term </w:t>
            </w:r>
            <w:r w:rsidR="00A94371" w:rsidRPr="00EC285E">
              <w:rPr>
                <w:szCs w:val="24"/>
                <w:lang w:val="en-GB"/>
              </w:rPr>
              <w:t xml:space="preserve">commitments </w:t>
            </w:r>
            <w:r w:rsidR="00F17DC2" w:rsidRPr="00EC285E">
              <w:rPr>
                <w:szCs w:val="24"/>
                <w:lang w:val="en-GB"/>
              </w:rPr>
              <w:t>and</w:t>
            </w:r>
            <w:r w:rsidR="00750EA2" w:rsidRPr="00EC285E">
              <w:rPr>
                <w:szCs w:val="24"/>
                <w:lang w:val="en-GB"/>
              </w:rPr>
              <w:t xml:space="preserve"> political risk insurance</w:t>
            </w:r>
            <w:r w:rsidR="0069383C" w:rsidRPr="00EC285E">
              <w:rPr>
                <w:szCs w:val="24"/>
                <w:lang w:val="en-GB"/>
              </w:rPr>
              <w:t xml:space="preserve">. This represents about one third of total commitments outstanding which were estimated in 2020 at USD 2.77 trillion (Berne Union 2021). About two thirds are short-term </w:t>
            </w:r>
            <w:r w:rsidR="00A94371" w:rsidRPr="00EC285E">
              <w:rPr>
                <w:szCs w:val="24"/>
                <w:lang w:val="en-GB"/>
              </w:rPr>
              <w:t>commitments</w:t>
            </w:r>
            <w:r w:rsidR="00BA25D3" w:rsidRPr="00EC285E">
              <w:rPr>
                <w:szCs w:val="24"/>
                <w:lang w:val="en-GB"/>
              </w:rPr>
              <w:t xml:space="preserve"> which</w:t>
            </w:r>
            <w:r w:rsidR="0069383C" w:rsidRPr="00EC285E">
              <w:rPr>
                <w:szCs w:val="24"/>
                <w:lang w:val="en-GB"/>
              </w:rPr>
              <w:t xml:space="preserve"> are </w:t>
            </w:r>
            <w:r w:rsidR="00BA25D3" w:rsidRPr="00EC285E">
              <w:rPr>
                <w:szCs w:val="24"/>
                <w:lang w:val="en-GB"/>
              </w:rPr>
              <w:t>predominantly insured by private insurers</w:t>
            </w:r>
            <w:r w:rsidR="007B4365" w:rsidRPr="00EC285E">
              <w:rPr>
                <w:szCs w:val="24"/>
                <w:lang w:val="en-GB"/>
              </w:rPr>
              <w:t xml:space="preserve"> (</w:t>
            </w:r>
            <w:r w:rsidR="007B4365" w:rsidRPr="00EC285E">
              <w:rPr>
                <w:i/>
                <w:szCs w:val="24"/>
                <w:lang w:val="en-GB"/>
              </w:rPr>
              <w:t>ibid</w:t>
            </w:r>
            <w:r w:rsidR="007B4365" w:rsidRPr="00EC285E">
              <w:rPr>
                <w:szCs w:val="24"/>
                <w:lang w:val="en-GB"/>
              </w:rPr>
              <w:t>.)</w:t>
            </w:r>
            <w:r w:rsidR="00A347D5" w:rsidRPr="00EC285E">
              <w:rPr>
                <w:szCs w:val="24"/>
                <w:lang w:val="en-GB"/>
              </w:rPr>
              <w:t>.</w:t>
            </w:r>
            <w:r w:rsidR="005860C5" w:rsidRPr="00EC285E">
              <w:rPr>
                <w:szCs w:val="24"/>
                <w:lang w:val="en-GB"/>
              </w:rPr>
              <w:t xml:space="preserve"> However,</w:t>
            </w:r>
            <w:r w:rsidR="007B4365" w:rsidRPr="00EC285E">
              <w:rPr>
                <w:szCs w:val="24"/>
                <w:lang w:val="en-GB"/>
              </w:rPr>
              <w:t xml:space="preserve"> the fact that ECAs</w:t>
            </w:r>
            <w:r w:rsidR="00DE67E4" w:rsidRPr="00EC285E">
              <w:rPr>
                <w:szCs w:val="24"/>
                <w:lang w:val="en-GB"/>
              </w:rPr>
              <w:t xml:space="preserve"> typically support larger and riskier projects</w:t>
            </w:r>
            <w:r w:rsidR="007B4365" w:rsidRPr="00EC285E">
              <w:rPr>
                <w:szCs w:val="24"/>
                <w:lang w:val="en-GB"/>
              </w:rPr>
              <w:t xml:space="preserve"> </w:t>
            </w:r>
            <w:r w:rsidR="00532D0A" w:rsidRPr="00EC285E">
              <w:rPr>
                <w:szCs w:val="24"/>
                <w:lang w:val="en-GB"/>
              </w:rPr>
              <w:t xml:space="preserve">that would not </w:t>
            </w:r>
            <w:r w:rsidR="001F3478">
              <w:rPr>
                <w:szCs w:val="24"/>
                <w:lang w:val="en-GB"/>
              </w:rPr>
              <w:t xml:space="preserve">have </w:t>
            </w:r>
            <w:r w:rsidR="00532D0A" w:rsidRPr="00EC285E">
              <w:rPr>
                <w:szCs w:val="24"/>
                <w:lang w:val="en-GB"/>
              </w:rPr>
              <w:t>been insured otherwise</w:t>
            </w:r>
            <w:r w:rsidR="007B4365" w:rsidRPr="00EC285E">
              <w:rPr>
                <w:szCs w:val="24"/>
                <w:lang w:val="en-GB"/>
              </w:rPr>
              <w:t xml:space="preserve"> underlines the rationale </w:t>
            </w:r>
            <w:r w:rsidR="001F3478">
              <w:rPr>
                <w:szCs w:val="24"/>
                <w:lang w:val="en-GB"/>
              </w:rPr>
              <w:t>of looking into</w:t>
            </w:r>
            <w:r w:rsidR="007B4365" w:rsidRPr="00EC285E">
              <w:rPr>
                <w:szCs w:val="24"/>
                <w:lang w:val="en-GB"/>
              </w:rPr>
              <w:t xml:space="preserve"> their</w:t>
            </w:r>
            <w:r w:rsidR="00532D0A" w:rsidRPr="00EC285E">
              <w:rPr>
                <w:szCs w:val="24"/>
                <w:lang w:val="en-GB"/>
              </w:rPr>
              <w:t xml:space="preserve"> </w:t>
            </w:r>
            <w:r w:rsidR="00DE67E4" w:rsidRPr="00EC285E">
              <w:rPr>
                <w:szCs w:val="24"/>
                <w:lang w:val="en-GB"/>
              </w:rPr>
              <w:t>potentially adverse effects on climate and the environment.</w:t>
            </w:r>
          </w:p>
        </w:tc>
      </w:tr>
    </w:tbl>
    <w:p w14:paraId="09583A2B" w14:textId="77777777" w:rsidR="00A64D82" w:rsidRPr="00FC1E5A" w:rsidRDefault="00A64D82" w:rsidP="00493C62">
      <w:pPr>
        <w:spacing w:before="120" w:after="0"/>
        <w:rPr>
          <w:rFonts w:cs="Arial"/>
        </w:rPr>
      </w:pPr>
    </w:p>
    <w:p w14:paraId="18BC46C2" w14:textId="77777777" w:rsidR="00C84C28" w:rsidRDefault="00410C9F" w:rsidP="00493C62">
      <w:pPr>
        <w:spacing w:before="120" w:after="0"/>
        <w:rPr>
          <w:rFonts w:cs="Arial"/>
          <w:lang w:val="en-GB"/>
        </w:rPr>
      </w:pPr>
      <w:r>
        <w:rPr>
          <w:rFonts w:cs="Arial"/>
          <w:lang w:val="en-GB"/>
        </w:rPr>
        <w:t>S</w:t>
      </w:r>
      <w:r w:rsidR="001274B2" w:rsidRPr="00FC1E5A">
        <w:rPr>
          <w:rFonts w:cs="Arial"/>
          <w:lang w:val="en-GB"/>
        </w:rPr>
        <w:t xml:space="preserve">ome </w:t>
      </w:r>
      <w:r w:rsidR="00D64714" w:rsidRPr="00FC1E5A">
        <w:rPr>
          <w:rFonts w:cs="Arial"/>
          <w:lang w:val="en-GB"/>
        </w:rPr>
        <w:t xml:space="preserve">governments </w:t>
      </w:r>
      <w:r>
        <w:rPr>
          <w:rFonts w:cs="Arial"/>
          <w:lang w:val="en-GB"/>
        </w:rPr>
        <w:t xml:space="preserve">have </w:t>
      </w:r>
      <w:r w:rsidR="001274B2" w:rsidRPr="00FC1E5A">
        <w:rPr>
          <w:rFonts w:cs="Arial"/>
          <w:lang w:val="en-GB"/>
        </w:rPr>
        <w:t>start</w:t>
      </w:r>
      <w:r>
        <w:rPr>
          <w:rFonts w:cs="Arial"/>
          <w:lang w:val="en-GB"/>
        </w:rPr>
        <w:t>ed</w:t>
      </w:r>
      <w:r w:rsidR="001274B2" w:rsidRPr="00FC1E5A">
        <w:rPr>
          <w:rFonts w:cs="Arial"/>
          <w:lang w:val="en-GB"/>
        </w:rPr>
        <w:t xml:space="preserve"> making explicit climate commitments for their ECAs </w:t>
      </w:r>
      <w:r w:rsidR="003670E2" w:rsidRPr="00FC1E5A">
        <w:rPr>
          <w:rFonts w:cs="Arial"/>
          <w:lang w:val="en-GB"/>
        </w:rPr>
        <w:t>–</w:t>
      </w:r>
      <w:r w:rsidR="001274B2" w:rsidRPr="00FC1E5A">
        <w:rPr>
          <w:rFonts w:cs="Arial"/>
          <w:lang w:val="en-GB"/>
        </w:rPr>
        <w:t xml:space="preserve"> notably </w:t>
      </w:r>
      <w:r w:rsidR="006C6A87">
        <w:rPr>
          <w:rFonts w:cs="Arial"/>
          <w:lang w:val="en-GB"/>
        </w:rPr>
        <w:t xml:space="preserve">foreign ministers from the </w:t>
      </w:r>
      <w:r w:rsidR="001274B2" w:rsidRPr="00FC1E5A">
        <w:rPr>
          <w:rFonts w:cs="Arial"/>
          <w:lang w:val="en-GB"/>
        </w:rPr>
        <w:t xml:space="preserve">EU, the </w:t>
      </w:r>
      <w:r w:rsidR="004C42D7" w:rsidRPr="00FC1E5A">
        <w:rPr>
          <w:rFonts w:cs="Arial"/>
          <w:lang w:val="en-GB"/>
        </w:rPr>
        <w:t>UK,</w:t>
      </w:r>
      <w:r w:rsidR="001274B2" w:rsidRPr="00FC1E5A">
        <w:rPr>
          <w:rFonts w:cs="Arial"/>
          <w:lang w:val="en-GB"/>
        </w:rPr>
        <w:t xml:space="preserve"> and the US. However, </w:t>
      </w:r>
      <w:r w:rsidR="00F51458" w:rsidRPr="00FC1E5A">
        <w:rPr>
          <w:rFonts w:cs="Arial"/>
          <w:lang w:val="en-GB"/>
        </w:rPr>
        <w:t>many ECAs</w:t>
      </w:r>
      <w:r w:rsidR="001274B2" w:rsidRPr="00FC1E5A">
        <w:rPr>
          <w:rFonts w:cs="Arial"/>
          <w:lang w:val="en-GB"/>
        </w:rPr>
        <w:t xml:space="preserve"> still lack ambition in terms of speed, </w:t>
      </w:r>
      <w:r w:rsidR="009078E7" w:rsidRPr="00FC1E5A">
        <w:rPr>
          <w:rFonts w:cs="Arial"/>
          <w:lang w:val="en-GB"/>
        </w:rPr>
        <w:t>scale,</w:t>
      </w:r>
      <w:r w:rsidR="001274B2" w:rsidRPr="00FC1E5A">
        <w:rPr>
          <w:rFonts w:cs="Arial"/>
          <w:lang w:val="en-GB"/>
        </w:rPr>
        <w:t xml:space="preserve"> and scope of the reforms – for example, </w:t>
      </w:r>
      <w:r>
        <w:rPr>
          <w:rFonts w:cs="Arial"/>
          <w:lang w:val="en-GB"/>
        </w:rPr>
        <w:t>most</w:t>
      </w:r>
      <w:r w:rsidRPr="00FC1E5A">
        <w:rPr>
          <w:rFonts w:cs="Arial"/>
          <w:lang w:val="en-GB"/>
        </w:rPr>
        <w:t xml:space="preserve"> </w:t>
      </w:r>
      <w:r w:rsidR="00F51458" w:rsidRPr="00FC1E5A">
        <w:rPr>
          <w:rFonts w:cs="Arial"/>
          <w:lang w:val="en-GB"/>
        </w:rPr>
        <w:t xml:space="preserve">of them </w:t>
      </w:r>
      <w:r w:rsidR="001274B2" w:rsidRPr="00FC1E5A">
        <w:rPr>
          <w:rFonts w:cs="Arial"/>
          <w:lang w:val="en-GB"/>
        </w:rPr>
        <w:t xml:space="preserve">are not in line with </w:t>
      </w:r>
      <w:bookmarkStart w:id="6" w:name="_Hlk83138233"/>
      <w:r w:rsidR="001274B2" w:rsidRPr="00FC1E5A">
        <w:rPr>
          <w:rFonts w:cs="Arial"/>
          <w:lang w:val="en-GB"/>
        </w:rPr>
        <w:t xml:space="preserve">the latest Net Zero scenario </w:t>
      </w:r>
      <w:r w:rsidR="00D64714" w:rsidRPr="00FC1E5A">
        <w:rPr>
          <w:rFonts w:cs="Arial"/>
          <w:lang w:val="en-GB"/>
        </w:rPr>
        <w:t xml:space="preserve">developed </w:t>
      </w:r>
      <w:r w:rsidR="001274B2" w:rsidRPr="00FC1E5A">
        <w:rPr>
          <w:rFonts w:cs="Arial"/>
          <w:lang w:val="en-GB"/>
        </w:rPr>
        <w:t xml:space="preserve">by the International Energy Agency (IEA) that calls for immediate end of new fossil fuel supply developments, including </w:t>
      </w:r>
      <w:r w:rsidR="003670E2" w:rsidRPr="00FC1E5A">
        <w:rPr>
          <w:rFonts w:cs="Arial"/>
          <w:lang w:val="en-GB"/>
        </w:rPr>
        <w:t xml:space="preserve">natural </w:t>
      </w:r>
      <w:r w:rsidR="001274B2" w:rsidRPr="00FC1E5A">
        <w:rPr>
          <w:rFonts w:cs="Arial"/>
          <w:lang w:val="en-GB"/>
        </w:rPr>
        <w:t>gas (</w:t>
      </w:r>
      <w:r w:rsidR="00D64714" w:rsidRPr="00FC1E5A">
        <w:rPr>
          <w:rFonts w:cs="Arial"/>
          <w:lang w:val="en-GB"/>
        </w:rPr>
        <w:t>IEA</w:t>
      </w:r>
      <w:r w:rsidR="00D02593" w:rsidRPr="00FC1E5A">
        <w:rPr>
          <w:rFonts w:cs="Arial"/>
          <w:lang w:val="en-GB"/>
        </w:rPr>
        <w:t xml:space="preserve"> </w:t>
      </w:r>
      <w:r w:rsidR="001274B2" w:rsidRPr="00FC1E5A">
        <w:rPr>
          <w:rFonts w:cs="Arial"/>
          <w:lang w:val="en-GB"/>
        </w:rPr>
        <w:t>2021</w:t>
      </w:r>
      <w:bookmarkEnd w:id="6"/>
      <w:r w:rsidR="001274B2" w:rsidRPr="00FC1E5A">
        <w:rPr>
          <w:rFonts w:cs="Arial"/>
          <w:lang w:val="en-GB"/>
        </w:rPr>
        <w:t xml:space="preserve">). Moreover, no systematic benchmarks or </w:t>
      </w:r>
      <w:r w:rsidR="00973626" w:rsidRPr="00FC1E5A">
        <w:rPr>
          <w:rFonts w:cs="Arial"/>
          <w:lang w:val="en-GB"/>
        </w:rPr>
        <w:t>approaches</w:t>
      </w:r>
      <w:r w:rsidR="001274B2" w:rsidRPr="00FC1E5A">
        <w:rPr>
          <w:rFonts w:cs="Arial"/>
          <w:lang w:val="en-GB"/>
        </w:rPr>
        <w:t xml:space="preserve"> exist to </w:t>
      </w:r>
      <w:r w:rsidR="00973626" w:rsidRPr="00FC1E5A">
        <w:rPr>
          <w:rFonts w:cs="Arial"/>
          <w:lang w:val="en-GB"/>
        </w:rPr>
        <w:t xml:space="preserve">comparatively </w:t>
      </w:r>
      <w:r w:rsidR="001274B2" w:rsidRPr="00FC1E5A">
        <w:rPr>
          <w:rFonts w:cs="Arial"/>
          <w:lang w:val="en-GB"/>
        </w:rPr>
        <w:t xml:space="preserve">assess and guide ECAs towards </w:t>
      </w:r>
      <w:r w:rsidR="003670E2" w:rsidRPr="00FC1E5A">
        <w:rPr>
          <w:rFonts w:cs="Arial"/>
          <w:lang w:val="en-GB"/>
        </w:rPr>
        <w:t>Paris alignment</w:t>
      </w:r>
      <w:r w:rsidR="001274B2" w:rsidRPr="00FC1E5A">
        <w:rPr>
          <w:rFonts w:cs="Arial"/>
          <w:lang w:val="en-GB"/>
        </w:rPr>
        <w:t xml:space="preserve">. To help </w:t>
      </w:r>
      <w:r w:rsidR="001F3478">
        <w:rPr>
          <w:rFonts w:cs="Arial"/>
          <w:lang w:val="en-GB"/>
        </w:rPr>
        <w:t>bridge</w:t>
      </w:r>
      <w:r w:rsidR="001274B2" w:rsidRPr="00FC1E5A">
        <w:rPr>
          <w:rFonts w:cs="Arial"/>
          <w:lang w:val="en-GB"/>
        </w:rPr>
        <w:t xml:space="preserve"> these gaps and inform ongoing reform processes, Perspectives</w:t>
      </w:r>
      <w:r w:rsidR="003670E2" w:rsidRPr="00FC1E5A">
        <w:rPr>
          <w:rFonts w:cs="Arial"/>
          <w:lang w:val="en-GB"/>
        </w:rPr>
        <w:t xml:space="preserve"> Climate Research</w:t>
      </w:r>
      <w:r w:rsidR="001274B2" w:rsidRPr="00FC1E5A">
        <w:rPr>
          <w:rFonts w:cs="Arial"/>
          <w:lang w:val="en-GB"/>
        </w:rPr>
        <w:t xml:space="preserve"> developed a dedicated methodology to assess the alignment of ECAs with the Paris Agreement</w:t>
      </w:r>
      <w:r>
        <w:rPr>
          <w:rFonts w:cs="Arial"/>
          <w:lang w:val="en-GB"/>
        </w:rPr>
        <w:t xml:space="preserve"> (Shishlov et. al 2021)</w:t>
      </w:r>
      <w:r w:rsidR="001274B2" w:rsidRPr="00FC1E5A">
        <w:rPr>
          <w:rFonts w:cs="Arial"/>
          <w:lang w:val="en-GB"/>
        </w:rPr>
        <w:t xml:space="preserve">. This methodology was </w:t>
      </w:r>
      <w:r w:rsidR="00A8343B" w:rsidRPr="00FC1E5A">
        <w:rPr>
          <w:rFonts w:cs="Arial"/>
          <w:lang w:val="en-GB"/>
        </w:rPr>
        <w:t xml:space="preserve">initially applied to </w:t>
      </w:r>
      <w:r w:rsidR="00D64714" w:rsidRPr="00FC1E5A">
        <w:rPr>
          <w:rFonts w:cs="Arial"/>
          <w:lang w:val="en-GB"/>
        </w:rPr>
        <w:t xml:space="preserve">Germany’s mandated ECA </w:t>
      </w:r>
      <w:r w:rsidR="001274B2" w:rsidRPr="00FC1E5A">
        <w:rPr>
          <w:rFonts w:cs="Arial"/>
          <w:lang w:val="en-GB"/>
        </w:rPr>
        <w:t>Euler Hermes</w:t>
      </w:r>
      <w:r w:rsidR="001E63EA" w:rsidRPr="00FC1E5A">
        <w:rPr>
          <w:rFonts w:cs="Arial"/>
          <w:lang w:val="en-GB"/>
        </w:rPr>
        <w:t xml:space="preserve"> </w:t>
      </w:r>
      <w:r>
        <w:rPr>
          <w:rFonts w:cs="Arial"/>
          <w:lang w:val="en-GB"/>
        </w:rPr>
        <w:t>(</w:t>
      </w:r>
      <w:r w:rsidRPr="00410C9F">
        <w:rPr>
          <w:rFonts w:cs="Arial"/>
        </w:rPr>
        <w:t>Darouich</w:t>
      </w:r>
      <w:r>
        <w:rPr>
          <w:rFonts w:cs="Arial"/>
        </w:rPr>
        <w:t xml:space="preserve"> et al. 2021</w:t>
      </w:r>
      <w:r>
        <w:rPr>
          <w:rFonts w:cs="Arial"/>
          <w:lang w:val="en-GB"/>
        </w:rPr>
        <w:t>)</w:t>
      </w:r>
      <w:r w:rsidRPr="00FC1E5A">
        <w:rPr>
          <w:rFonts w:cs="Arial"/>
          <w:lang w:val="en-GB"/>
        </w:rPr>
        <w:t xml:space="preserve"> </w:t>
      </w:r>
      <w:r w:rsidR="001E63EA" w:rsidRPr="00FC1E5A">
        <w:rPr>
          <w:rFonts w:cs="Arial"/>
          <w:lang w:val="en-GB"/>
        </w:rPr>
        <w:t xml:space="preserve">and is currently </w:t>
      </w:r>
      <w:r w:rsidR="001F3478">
        <w:rPr>
          <w:rFonts w:cs="Arial"/>
          <w:lang w:val="en-GB"/>
        </w:rPr>
        <w:t xml:space="preserve">being </w:t>
      </w:r>
      <w:r w:rsidR="001E63EA" w:rsidRPr="00FC1E5A">
        <w:rPr>
          <w:rFonts w:cs="Arial"/>
          <w:lang w:val="en-GB"/>
        </w:rPr>
        <w:t xml:space="preserve">extended to </w:t>
      </w:r>
      <w:r w:rsidR="00C43843">
        <w:rPr>
          <w:rFonts w:cs="Arial"/>
          <w:lang w:val="en-GB"/>
        </w:rPr>
        <w:t xml:space="preserve">a series of </w:t>
      </w:r>
      <w:r w:rsidR="001E63EA" w:rsidRPr="00FC1E5A">
        <w:rPr>
          <w:rFonts w:cs="Arial"/>
          <w:lang w:val="en-GB"/>
        </w:rPr>
        <w:t xml:space="preserve">further </w:t>
      </w:r>
      <w:r>
        <w:rPr>
          <w:rFonts w:cs="Arial"/>
          <w:lang w:val="en-GB"/>
        </w:rPr>
        <w:t xml:space="preserve">country </w:t>
      </w:r>
      <w:r w:rsidR="001E63EA" w:rsidRPr="00FC1E5A">
        <w:rPr>
          <w:rFonts w:cs="Arial"/>
          <w:lang w:val="en-GB"/>
        </w:rPr>
        <w:t>case studies</w:t>
      </w:r>
      <w:r w:rsidR="00C43843">
        <w:rPr>
          <w:rFonts w:cs="Arial"/>
          <w:lang w:val="en-GB"/>
        </w:rPr>
        <w:t xml:space="preserve"> </w:t>
      </w:r>
      <w:r w:rsidR="001F3478">
        <w:rPr>
          <w:rFonts w:cs="Arial"/>
          <w:lang w:val="en-GB"/>
        </w:rPr>
        <w:t xml:space="preserve">including </w:t>
      </w:r>
      <w:r w:rsidR="009F277A">
        <w:rPr>
          <w:rFonts w:cs="Arial"/>
          <w:lang w:val="en-GB"/>
        </w:rPr>
        <w:t>the one presented here</w:t>
      </w:r>
      <w:r>
        <w:rPr>
          <w:rFonts w:cs="Arial"/>
          <w:lang w:val="en-GB"/>
        </w:rPr>
        <w:t xml:space="preserve">. </w:t>
      </w:r>
    </w:p>
    <w:p w14:paraId="09F350BA" w14:textId="77777777" w:rsidR="00E02307" w:rsidRPr="00FC1E5A" w:rsidRDefault="00E02307" w:rsidP="00493C62">
      <w:pPr>
        <w:spacing w:before="120" w:after="0"/>
        <w:rPr>
          <w:rFonts w:cs="Arial"/>
          <w:lang w:val="en-GB"/>
        </w:rPr>
      </w:pPr>
    </w:p>
    <w:p w14:paraId="566CB7A6" w14:textId="77777777" w:rsidR="001274B2" w:rsidRPr="00FC1E5A" w:rsidRDefault="0009252E" w:rsidP="001274B2">
      <w:pPr>
        <w:pStyle w:val="berschrift1"/>
        <w:rPr>
          <w:rFonts w:ascii="Arial" w:hAnsi="Arial"/>
        </w:rPr>
      </w:pPr>
      <w:bookmarkStart w:id="7" w:name="_Toc84520025"/>
      <w:r w:rsidRPr="00FC1E5A">
        <w:rPr>
          <w:rFonts w:ascii="Arial" w:hAnsi="Arial"/>
        </w:rPr>
        <w:t>Officially</w:t>
      </w:r>
      <w:r w:rsidR="001873BC" w:rsidRPr="00FC1E5A">
        <w:rPr>
          <w:rFonts w:ascii="Arial" w:hAnsi="Arial"/>
        </w:rPr>
        <w:t xml:space="preserve"> </w:t>
      </w:r>
      <w:r w:rsidRPr="00FC1E5A">
        <w:rPr>
          <w:rFonts w:ascii="Arial" w:hAnsi="Arial"/>
        </w:rPr>
        <w:t>supported</w:t>
      </w:r>
      <w:r w:rsidR="001E6F0D" w:rsidRPr="00FC1E5A">
        <w:rPr>
          <w:rFonts w:ascii="Arial" w:hAnsi="Arial"/>
        </w:rPr>
        <w:t xml:space="preserve"> export finance in the Netherlands</w:t>
      </w:r>
      <w:bookmarkEnd w:id="7"/>
    </w:p>
    <w:p w14:paraId="23CE5178" w14:textId="2313CDD1" w:rsidR="006534C0" w:rsidRDefault="00D37F38" w:rsidP="001274B2">
      <w:pPr>
        <w:rPr>
          <w:rFonts w:cs="Arial"/>
          <w:lang w:val="en-GB"/>
        </w:rPr>
      </w:pPr>
      <w:r>
        <w:rPr>
          <w:rFonts w:cs="Arial"/>
          <w:lang w:val="en-GB"/>
        </w:rPr>
        <w:t>The Netherlands</w:t>
      </w:r>
      <w:r w:rsidR="00D5487D">
        <w:rPr>
          <w:rFonts w:cs="Arial"/>
          <w:lang w:val="en-GB"/>
        </w:rPr>
        <w:t xml:space="preserve"> is</w:t>
      </w:r>
      <w:r>
        <w:rPr>
          <w:rFonts w:cs="Arial"/>
          <w:lang w:val="en-GB"/>
        </w:rPr>
        <w:t xml:space="preserve"> a major exporting count</w:t>
      </w:r>
      <w:r w:rsidR="00D5487D">
        <w:rPr>
          <w:rFonts w:cs="Arial"/>
          <w:lang w:val="en-GB"/>
        </w:rPr>
        <w:t>r</w:t>
      </w:r>
      <w:r>
        <w:rPr>
          <w:rFonts w:cs="Arial"/>
          <w:lang w:val="en-GB"/>
        </w:rPr>
        <w:t xml:space="preserve">y and </w:t>
      </w:r>
      <w:r w:rsidR="00D5487D">
        <w:rPr>
          <w:rFonts w:cs="Arial"/>
          <w:lang w:val="en-GB"/>
        </w:rPr>
        <w:t xml:space="preserve">was </w:t>
      </w:r>
      <w:r>
        <w:rPr>
          <w:rFonts w:cs="Arial"/>
          <w:lang w:val="en-GB"/>
        </w:rPr>
        <w:t>ranked</w:t>
      </w:r>
      <w:r w:rsidR="00627CDC">
        <w:rPr>
          <w:rFonts w:cs="Arial"/>
          <w:lang w:val="en-GB"/>
        </w:rPr>
        <w:t xml:space="preserve"> the</w:t>
      </w:r>
      <w:r>
        <w:rPr>
          <w:rFonts w:cs="Arial"/>
          <w:lang w:val="en-GB"/>
        </w:rPr>
        <w:t xml:space="preserve"> </w:t>
      </w:r>
      <w:r w:rsidR="00627CDC">
        <w:rPr>
          <w:rFonts w:cs="Arial"/>
          <w:lang w:val="en-GB"/>
        </w:rPr>
        <w:t xml:space="preserve">seventh largest exporter in terms of </w:t>
      </w:r>
      <w:r>
        <w:rPr>
          <w:rFonts w:cs="Arial"/>
          <w:lang w:val="en-GB"/>
        </w:rPr>
        <w:t xml:space="preserve">absolute export </w:t>
      </w:r>
      <w:r w:rsidR="00627CDC">
        <w:rPr>
          <w:rFonts w:cs="Arial"/>
          <w:lang w:val="en-GB"/>
        </w:rPr>
        <w:t>value</w:t>
      </w:r>
      <w:r w:rsidR="00627CDC" w:rsidRPr="00C5571E">
        <w:rPr>
          <w:rFonts w:cs="Arial"/>
          <w:lang w:val="en-GB"/>
        </w:rPr>
        <w:t xml:space="preserve"> </w:t>
      </w:r>
      <w:r w:rsidR="00C5571E">
        <w:rPr>
          <w:rFonts w:cs="Arial"/>
          <w:lang w:val="en-GB"/>
        </w:rPr>
        <w:t>in 2020</w:t>
      </w:r>
      <w:r w:rsidR="00C7012A">
        <w:rPr>
          <w:rFonts w:cs="Arial"/>
          <w:lang w:val="en-GB"/>
        </w:rPr>
        <w:t xml:space="preserve"> </w:t>
      </w:r>
      <w:r>
        <w:rPr>
          <w:rFonts w:cs="Arial"/>
          <w:lang w:val="en-GB"/>
        </w:rPr>
        <w:t>– after China, the US, Germany</w:t>
      </w:r>
      <w:r w:rsidR="0069089D">
        <w:rPr>
          <w:rFonts w:cs="Arial"/>
          <w:lang w:val="en-GB"/>
        </w:rPr>
        <w:t>,</w:t>
      </w:r>
      <w:r>
        <w:rPr>
          <w:rFonts w:cs="Arial"/>
          <w:lang w:val="en-GB"/>
        </w:rPr>
        <w:t xml:space="preserve"> Japan</w:t>
      </w:r>
      <w:r w:rsidR="0069089D">
        <w:rPr>
          <w:rFonts w:cs="Arial"/>
          <w:lang w:val="en-GB"/>
        </w:rPr>
        <w:t xml:space="preserve"> the United Kingdom and France</w:t>
      </w:r>
      <w:r w:rsidR="00787CCC">
        <w:rPr>
          <w:rFonts w:cs="Arial"/>
          <w:lang w:val="en-GB"/>
        </w:rPr>
        <w:t xml:space="preserve"> (</w:t>
      </w:r>
      <w:r w:rsidR="00D07982">
        <w:rPr>
          <w:rFonts w:cs="Arial"/>
          <w:lang w:val="en-GB"/>
        </w:rPr>
        <w:t xml:space="preserve">The </w:t>
      </w:r>
      <w:r w:rsidR="00787CCC">
        <w:rPr>
          <w:rFonts w:cs="Arial"/>
          <w:lang w:val="en-GB"/>
        </w:rPr>
        <w:t>World Bank 2021)</w:t>
      </w:r>
      <w:r>
        <w:rPr>
          <w:rFonts w:cs="Arial"/>
          <w:lang w:val="en-GB"/>
        </w:rPr>
        <w:t>.</w:t>
      </w:r>
      <w:r w:rsidR="00C7012A">
        <w:rPr>
          <w:rFonts w:cs="Arial"/>
          <w:lang w:val="en-GB"/>
        </w:rPr>
        <w:t xml:space="preserve"> </w:t>
      </w:r>
      <w:r w:rsidR="00787CCC">
        <w:rPr>
          <w:rFonts w:cs="Arial"/>
          <w:lang w:val="en-GB"/>
        </w:rPr>
        <w:t xml:space="preserve">At the same time, the Netherlands </w:t>
      </w:r>
      <w:r w:rsidR="009F277A">
        <w:rPr>
          <w:rFonts w:cs="Arial"/>
          <w:lang w:val="en-GB"/>
        </w:rPr>
        <w:t>has</w:t>
      </w:r>
      <w:r w:rsidR="00AB5C1F">
        <w:rPr>
          <w:rFonts w:cs="Arial"/>
          <w:lang w:val="en-GB"/>
        </w:rPr>
        <w:t xml:space="preserve"> by far the strongest export economy worldwide on a per capita basis</w:t>
      </w:r>
      <w:r w:rsidR="00CC642B">
        <w:rPr>
          <w:rFonts w:cs="Arial"/>
          <w:lang w:val="en-GB"/>
        </w:rPr>
        <w:t>,</w:t>
      </w:r>
      <w:r w:rsidR="007A30F4">
        <w:rPr>
          <w:rFonts w:cs="Arial"/>
          <w:lang w:val="en-GB"/>
        </w:rPr>
        <w:t xml:space="preserve"> selling </w:t>
      </w:r>
      <w:r w:rsidR="00F44BFD">
        <w:rPr>
          <w:rFonts w:cs="Arial"/>
          <w:lang w:val="en-GB"/>
        </w:rPr>
        <w:t>nearly</w:t>
      </w:r>
      <w:r w:rsidR="007A30F4">
        <w:rPr>
          <w:rFonts w:cs="Arial"/>
          <w:lang w:val="en-GB"/>
        </w:rPr>
        <w:t xml:space="preserve"> twenty</w:t>
      </w:r>
      <w:r w:rsidR="006940ED">
        <w:rPr>
          <w:rFonts w:cs="Arial"/>
          <w:lang w:val="en-GB"/>
        </w:rPr>
        <w:t>-two</w:t>
      </w:r>
      <w:r w:rsidR="007A30F4">
        <w:rPr>
          <w:rFonts w:cs="Arial"/>
          <w:lang w:val="en-GB"/>
        </w:rPr>
        <w:t xml:space="preserve"> times the </w:t>
      </w:r>
      <w:r w:rsidR="00CC642B">
        <w:rPr>
          <w:rFonts w:cs="Arial"/>
          <w:lang w:val="en-GB"/>
        </w:rPr>
        <w:t xml:space="preserve">export </w:t>
      </w:r>
      <w:r w:rsidR="007A30F4">
        <w:rPr>
          <w:rFonts w:cs="Arial"/>
          <w:lang w:val="en-GB"/>
        </w:rPr>
        <w:t xml:space="preserve">value per capita </w:t>
      </w:r>
      <w:r w:rsidR="00520B27">
        <w:rPr>
          <w:rFonts w:cs="Arial"/>
          <w:lang w:val="en-GB"/>
        </w:rPr>
        <w:t>of</w:t>
      </w:r>
      <w:r w:rsidR="007A30F4">
        <w:rPr>
          <w:rFonts w:cs="Arial"/>
          <w:lang w:val="en-GB"/>
        </w:rPr>
        <w:t xml:space="preserve"> </w:t>
      </w:r>
      <w:r w:rsidR="001B7F5C">
        <w:rPr>
          <w:rFonts w:cs="Arial"/>
          <w:lang w:val="en-GB"/>
        </w:rPr>
        <w:t>China, about</w:t>
      </w:r>
      <w:r w:rsidR="007A30F4">
        <w:rPr>
          <w:rFonts w:cs="Arial"/>
          <w:lang w:val="en-GB"/>
        </w:rPr>
        <w:t xml:space="preserve"> </w:t>
      </w:r>
      <w:r w:rsidR="00520B27">
        <w:rPr>
          <w:rFonts w:cs="Arial"/>
          <w:lang w:val="en-GB"/>
        </w:rPr>
        <w:t xml:space="preserve">six times that of the United States and about twice as much as </w:t>
      </w:r>
      <w:r w:rsidR="007A30F4">
        <w:rPr>
          <w:rFonts w:cs="Arial"/>
          <w:lang w:val="en-GB"/>
        </w:rPr>
        <w:t>Germany</w:t>
      </w:r>
      <w:r w:rsidR="009B78E3">
        <w:rPr>
          <w:rFonts w:cs="Arial"/>
          <w:lang w:val="en-GB"/>
        </w:rPr>
        <w:t xml:space="preserve"> (own calculation, based on </w:t>
      </w:r>
      <w:r w:rsidR="00F77FA0">
        <w:rPr>
          <w:rFonts w:cs="Arial"/>
          <w:lang w:val="en-GB"/>
        </w:rPr>
        <w:t xml:space="preserve">The </w:t>
      </w:r>
      <w:r w:rsidR="009B78E3">
        <w:rPr>
          <w:rFonts w:cs="Arial"/>
          <w:lang w:val="en-GB"/>
        </w:rPr>
        <w:t xml:space="preserve">World Bank </w:t>
      </w:r>
      <w:r w:rsidR="00A9606F">
        <w:rPr>
          <w:rFonts w:cs="Arial"/>
          <w:lang w:val="en-GB"/>
        </w:rPr>
        <w:t>(</w:t>
      </w:r>
      <w:r w:rsidR="009B78E3">
        <w:rPr>
          <w:rFonts w:cs="Arial"/>
          <w:lang w:val="en-GB"/>
        </w:rPr>
        <w:t>2021</w:t>
      </w:r>
      <w:r w:rsidR="00A9606F">
        <w:rPr>
          <w:rFonts w:cs="Arial"/>
          <w:lang w:val="en-GB"/>
        </w:rPr>
        <w:t>)</w:t>
      </w:r>
      <w:r w:rsidR="009F277A">
        <w:rPr>
          <w:rFonts w:cs="Arial"/>
          <w:lang w:val="en-GB"/>
        </w:rPr>
        <w:t xml:space="preserve"> and</w:t>
      </w:r>
      <w:r w:rsidR="009B78E3">
        <w:rPr>
          <w:rFonts w:cs="Arial"/>
          <w:lang w:val="en-GB"/>
        </w:rPr>
        <w:t xml:space="preserve"> UN</w:t>
      </w:r>
      <w:r w:rsidR="00291675">
        <w:rPr>
          <w:rFonts w:cs="Arial"/>
          <w:lang w:val="en-GB"/>
        </w:rPr>
        <w:t xml:space="preserve"> Population Division</w:t>
      </w:r>
      <w:r w:rsidR="009B78E3">
        <w:rPr>
          <w:rFonts w:cs="Arial"/>
          <w:lang w:val="en-GB"/>
        </w:rPr>
        <w:t xml:space="preserve"> </w:t>
      </w:r>
      <w:r w:rsidR="00A9606F">
        <w:rPr>
          <w:rFonts w:cs="Arial"/>
          <w:lang w:val="en-GB"/>
        </w:rPr>
        <w:t>(</w:t>
      </w:r>
      <w:r w:rsidR="009B78E3">
        <w:rPr>
          <w:rFonts w:cs="Arial"/>
          <w:lang w:val="en-GB"/>
        </w:rPr>
        <w:t>2021</w:t>
      </w:r>
      <w:r w:rsidR="00A9606F">
        <w:rPr>
          <w:rFonts w:cs="Arial"/>
          <w:lang w:val="en-GB"/>
        </w:rPr>
        <w:t>)</w:t>
      </w:r>
      <w:r w:rsidR="009B78E3">
        <w:rPr>
          <w:rFonts w:cs="Arial"/>
          <w:lang w:val="en-GB"/>
        </w:rPr>
        <w:t>).</w:t>
      </w:r>
      <w:r w:rsidR="007A30F4">
        <w:rPr>
          <w:rFonts w:cs="Arial"/>
          <w:lang w:val="en-GB"/>
        </w:rPr>
        <w:t xml:space="preserve"> </w:t>
      </w:r>
      <w:r w:rsidR="002C2051">
        <w:rPr>
          <w:rFonts w:cs="Arial"/>
          <w:lang w:val="en-GB"/>
        </w:rPr>
        <w:t>T</w:t>
      </w:r>
      <w:r w:rsidR="000233A9">
        <w:rPr>
          <w:rFonts w:cs="Arial"/>
          <w:lang w:val="en-GB"/>
        </w:rPr>
        <w:t>h</w:t>
      </w:r>
      <w:r w:rsidR="00044743">
        <w:rPr>
          <w:rFonts w:cs="Arial"/>
          <w:lang w:val="en-GB"/>
        </w:rPr>
        <w:t>is unique position as exporting economy is reflected in the pivotal role that the</w:t>
      </w:r>
      <w:r w:rsidR="000233A9">
        <w:rPr>
          <w:rFonts w:cs="Arial"/>
          <w:lang w:val="en-GB"/>
        </w:rPr>
        <w:t xml:space="preserve"> export of goods and services </w:t>
      </w:r>
      <w:r w:rsidR="00044743">
        <w:rPr>
          <w:rFonts w:cs="Arial"/>
          <w:lang w:val="en-GB"/>
        </w:rPr>
        <w:t xml:space="preserve">historically </w:t>
      </w:r>
      <w:r w:rsidR="00EB1D48">
        <w:rPr>
          <w:rFonts w:cs="Arial"/>
          <w:lang w:val="en-GB"/>
        </w:rPr>
        <w:t xml:space="preserve">played </w:t>
      </w:r>
      <w:r w:rsidR="008C3CBA">
        <w:rPr>
          <w:rFonts w:cs="Arial"/>
          <w:lang w:val="en-GB"/>
        </w:rPr>
        <w:t xml:space="preserve">for the </w:t>
      </w:r>
      <w:r w:rsidR="002C2051">
        <w:rPr>
          <w:rFonts w:cs="Arial"/>
          <w:lang w:val="en-GB"/>
        </w:rPr>
        <w:t xml:space="preserve">economic </w:t>
      </w:r>
      <w:r w:rsidR="00EB1D48">
        <w:rPr>
          <w:rFonts w:cs="Arial"/>
          <w:lang w:val="en-GB"/>
        </w:rPr>
        <w:t xml:space="preserve">development of the </w:t>
      </w:r>
      <w:r w:rsidR="00D902B6">
        <w:rPr>
          <w:rFonts w:cs="Arial"/>
          <w:lang w:val="en-GB"/>
        </w:rPr>
        <w:t>country</w:t>
      </w:r>
      <w:r w:rsidR="00044743">
        <w:rPr>
          <w:rFonts w:cs="Arial"/>
          <w:lang w:val="en-GB"/>
        </w:rPr>
        <w:t>.</w:t>
      </w:r>
      <w:r w:rsidR="00BC58E3">
        <w:rPr>
          <w:rFonts w:cs="Arial"/>
          <w:lang w:val="en-GB"/>
        </w:rPr>
        <w:t xml:space="preserve"> Since 1932</w:t>
      </w:r>
      <w:r w:rsidR="00021202">
        <w:rPr>
          <w:rFonts w:cs="Arial"/>
          <w:lang w:val="en-GB"/>
        </w:rPr>
        <w:t>, t</w:t>
      </w:r>
      <w:r w:rsidR="00D902B6">
        <w:rPr>
          <w:rFonts w:cs="Arial"/>
          <w:lang w:val="en-GB"/>
        </w:rPr>
        <w:t xml:space="preserve">he Dutch </w:t>
      </w:r>
      <w:r w:rsidR="00FD06B7">
        <w:rPr>
          <w:rFonts w:cs="Arial"/>
          <w:lang w:val="en-GB"/>
        </w:rPr>
        <w:t xml:space="preserve">ECA </w:t>
      </w:r>
      <w:r w:rsidR="00D902B6">
        <w:rPr>
          <w:rFonts w:cs="Arial"/>
          <w:lang w:val="en-GB"/>
        </w:rPr>
        <w:t>support</w:t>
      </w:r>
      <w:r w:rsidR="002E047D">
        <w:rPr>
          <w:rFonts w:cs="Arial"/>
          <w:lang w:val="en-GB"/>
        </w:rPr>
        <w:t>s</w:t>
      </w:r>
      <w:r w:rsidR="00D902B6">
        <w:rPr>
          <w:rFonts w:cs="Arial"/>
          <w:lang w:val="en-GB"/>
        </w:rPr>
        <w:t xml:space="preserve"> private export</w:t>
      </w:r>
      <w:r w:rsidR="001F5B37">
        <w:rPr>
          <w:rFonts w:cs="Arial"/>
          <w:lang w:val="en-GB"/>
        </w:rPr>
        <w:t xml:space="preserve">ers </w:t>
      </w:r>
      <w:r w:rsidR="00C45DDB">
        <w:rPr>
          <w:rFonts w:cs="Arial"/>
          <w:lang w:val="en-GB"/>
        </w:rPr>
        <w:t>in their businesses</w:t>
      </w:r>
      <w:r w:rsidR="00A37C2B">
        <w:rPr>
          <w:rFonts w:cs="Arial"/>
          <w:lang w:val="en-GB"/>
        </w:rPr>
        <w:t xml:space="preserve"> </w:t>
      </w:r>
      <w:r w:rsidR="00D902B6">
        <w:rPr>
          <w:rFonts w:cs="Arial"/>
          <w:lang w:val="en-GB"/>
        </w:rPr>
        <w:t>abroad</w:t>
      </w:r>
      <w:r w:rsidR="00FD06B7">
        <w:rPr>
          <w:rFonts w:cs="Arial"/>
          <w:lang w:val="en-GB"/>
        </w:rPr>
        <w:t xml:space="preserve"> through on behalf of the Dutch State, e.g., through the provision of </w:t>
      </w:r>
      <w:r w:rsidR="00B77255">
        <w:rPr>
          <w:rFonts w:cs="Arial"/>
          <w:lang w:val="en-GB"/>
        </w:rPr>
        <w:t>insurance covers or guarantees.</w:t>
      </w:r>
      <w:r w:rsidR="00A503A8">
        <w:rPr>
          <w:rFonts w:cs="Arial"/>
          <w:lang w:val="en-GB"/>
        </w:rPr>
        <w:t xml:space="preserve"> This </w:t>
      </w:r>
      <w:r w:rsidR="00C45DDB">
        <w:rPr>
          <w:rFonts w:cs="Arial"/>
          <w:lang w:val="en-GB"/>
        </w:rPr>
        <w:t>is relatively early when compared to other industrialized countries that only established their ECAs after World War II</w:t>
      </w:r>
      <w:r w:rsidR="00520274">
        <w:rPr>
          <w:rFonts w:cs="Arial"/>
          <w:lang w:val="en-GB"/>
        </w:rPr>
        <w:t xml:space="preserve"> (Stephens 1999)</w:t>
      </w:r>
      <w:r w:rsidR="00EB1D48">
        <w:rPr>
          <w:rFonts w:cs="Arial"/>
          <w:lang w:val="en-GB"/>
        </w:rPr>
        <w:t xml:space="preserve">. </w:t>
      </w:r>
      <w:r w:rsidR="00C15403">
        <w:rPr>
          <w:rFonts w:cs="Arial"/>
          <w:lang w:val="en-GB"/>
        </w:rPr>
        <w:t xml:space="preserve">In 1953, still under the name of </w:t>
      </w:r>
      <w:proofErr w:type="spellStart"/>
      <w:r w:rsidR="00C15403" w:rsidRPr="00436125">
        <w:rPr>
          <w:rFonts w:cs="Arial"/>
          <w:i/>
          <w:iCs/>
          <w:lang w:val="en-GB"/>
        </w:rPr>
        <w:lastRenderedPageBreak/>
        <w:t>Nederlandsche</w:t>
      </w:r>
      <w:proofErr w:type="spellEnd"/>
      <w:r w:rsidR="00C15403" w:rsidRPr="00436125">
        <w:rPr>
          <w:rFonts w:cs="Arial"/>
          <w:i/>
          <w:iCs/>
          <w:lang w:val="en-GB"/>
        </w:rPr>
        <w:t xml:space="preserve"> </w:t>
      </w:r>
      <w:proofErr w:type="spellStart"/>
      <w:r w:rsidR="00C15403" w:rsidRPr="00436125">
        <w:rPr>
          <w:rFonts w:cs="Arial"/>
          <w:i/>
          <w:iCs/>
          <w:lang w:val="en-GB"/>
        </w:rPr>
        <w:t>Credietverzekering</w:t>
      </w:r>
      <w:proofErr w:type="spellEnd"/>
      <w:r w:rsidR="00C15403" w:rsidRPr="00436125">
        <w:rPr>
          <w:rFonts w:cs="Arial"/>
          <w:i/>
          <w:iCs/>
          <w:lang w:val="en-GB"/>
        </w:rPr>
        <w:t xml:space="preserve"> </w:t>
      </w:r>
      <w:proofErr w:type="spellStart"/>
      <w:r w:rsidR="00C15403" w:rsidRPr="00436125">
        <w:rPr>
          <w:rFonts w:cs="Arial"/>
          <w:i/>
          <w:iCs/>
          <w:lang w:val="en-GB"/>
        </w:rPr>
        <w:t>Maatschappij</w:t>
      </w:r>
      <w:proofErr w:type="spellEnd"/>
      <w:r w:rsidR="00C15403" w:rsidRPr="00B7015A">
        <w:rPr>
          <w:rFonts w:cs="Arial"/>
          <w:lang w:val="en-GB"/>
        </w:rPr>
        <w:t xml:space="preserve"> (NCM)</w:t>
      </w:r>
      <w:r w:rsidR="00C15403">
        <w:rPr>
          <w:rFonts w:cs="Arial"/>
          <w:lang w:val="en-GB"/>
        </w:rPr>
        <w:t>, the Dutch ECA became member of the Berne Union (</w:t>
      </w:r>
      <w:r w:rsidR="00C15403" w:rsidRPr="00C15403">
        <w:rPr>
          <w:rFonts w:cs="Arial"/>
          <w:i/>
          <w:lang w:val="en-GB"/>
        </w:rPr>
        <w:t>ibid</w:t>
      </w:r>
      <w:r w:rsidR="00C15403">
        <w:rPr>
          <w:rFonts w:cs="Arial"/>
          <w:lang w:val="en-GB"/>
        </w:rPr>
        <w:t xml:space="preserve">.). </w:t>
      </w:r>
      <w:r w:rsidR="003F6DEC">
        <w:rPr>
          <w:rFonts w:cs="Arial"/>
          <w:lang w:val="en-GB"/>
        </w:rPr>
        <w:t>In the early 2000s</w:t>
      </w:r>
      <w:r w:rsidR="007146B4">
        <w:rPr>
          <w:rFonts w:cs="Arial"/>
          <w:lang w:val="en-GB"/>
        </w:rPr>
        <w:t xml:space="preserve">, NCM merged with a German credit insurer and eventually became </w:t>
      </w:r>
      <w:r w:rsidR="007146B4" w:rsidRPr="00FC1E5A">
        <w:rPr>
          <w:rFonts w:cs="Arial"/>
          <w:lang w:val="en-GB"/>
        </w:rPr>
        <w:t>Atradius N.V., a</w:t>
      </w:r>
      <w:r w:rsidR="007146B4">
        <w:rPr>
          <w:rFonts w:cs="Arial"/>
          <w:lang w:val="en-GB"/>
        </w:rPr>
        <w:t xml:space="preserve">n internationally leading </w:t>
      </w:r>
      <w:r w:rsidR="007146B4" w:rsidRPr="00FC1E5A">
        <w:rPr>
          <w:rFonts w:cs="Arial"/>
          <w:lang w:val="en-GB"/>
        </w:rPr>
        <w:t xml:space="preserve">credit insurer headquartered in Amsterdam but predominantly owned by the Spanish </w:t>
      </w:r>
      <w:r w:rsidR="007146B4" w:rsidRPr="00FC1E5A">
        <w:rPr>
          <w:rFonts w:cs="Arial"/>
          <w:i/>
          <w:iCs/>
          <w:lang w:val="en-GB"/>
        </w:rPr>
        <w:t xml:space="preserve">Grupo </w:t>
      </w:r>
      <w:proofErr w:type="spellStart"/>
      <w:r w:rsidR="007146B4" w:rsidRPr="00FC1E5A">
        <w:rPr>
          <w:rFonts w:cs="Arial"/>
          <w:i/>
          <w:iCs/>
          <w:lang w:val="en-GB"/>
        </w:rPr>
        <w:t>Catalana</w:t>
      </w:r>
      <w:proofErr w:type="spellEnd"/>
      <w:r w:rsidR="007146B4" w:rsidRPr="00FC1E5A">
        <w:rPr>
          <w:rFonts w:cs="Arial"/>
          <w:i/>
          <w:iCs/>
          <w:lang w:val="en-GB"/>
        </w:rPr>
        <w:t xml:space="preserve"> </w:t>
      </w:r>
      <w:proofErr w:type="spellStart"/>
      <w:r w:rsidR="007146B4" w:rsidRPr="00FC1E5A">
        <w:rPr>
          <w:rFonts w:cs="Arial"/>
          <w:i/>
          <w:iCs/>
          <w:lang w:val="en-GB"/>
        </w:rPr>
        <w:t>Occidente</w:t>
      </w:r>
      <w:proofErr w:type="spellEnd"/>
      <w:r w:rsidR="007146B4">
        <w:rPr>
          <w:rFonts w:cs="Arial"/>
          <w:iCs/>
          <w:lang w:val="en-GB"/>
        </w:rPr>
        <w:t xml:space="preserve"> and listed in Spanish stock exchange markets</w:t>
      </w:r>
      <w:r w:rsidR="007146B4" w:rsidRPr="00FC1E5A">
        <w:rPr>
          <w:rFonts w:cs="Arial"/>
          <w:lang w:val="en-GB"/>
        </w:rPr>
        <w:t>.</w:t>
      </w:r>
      <w:r w:rsidR="007146B4" w:rsidRPr="00FC1E5A">
        <w:rPr>
          <w:rStyle w:val="Funotenzeichen"/>
          <w:rFonts w:cs="Arial"/>
          <w:lang w:val="en-GB"/>
        </w:rPr>
        <w:footnoteReference w:id="4"/>
      </w:r>
      <w:r w:rsidR="007146B4">
        <w:rPr>
          <w:rFonts w:cs="Arial"/>
          <w:lang w:val="en-GB"/>
        </w:rPr>
        <w:t xml:space="preserve"> </w:t>
      </w:r>
    </w:p>
    <w:p w14:paraId="3D182D3B" w14:textId="77777777" w:rsidR="00231B34" w:rsidRPr="00FC1E5A" w:rsidRDefault="007146B4" w:rsidP="001274B2">
      <w:pPr>
        <w:rPr>
          <w:rFonts w:cs="Arial"/>
          <w:lang w:val="en-GB"/>
        </w:rPr>
      </w:pPr>
      <w:r>
        <w:rPr>
          <w:rFonts w:cs="Arial"/>
          <w:lang w:val="en-GB"/>
        </w:rPr>
        <w:t xml:space="preserve">Today, the Dutch ECA, rebranded as Atradius Dutch State Business (Atradius DSB), is a wholly-owned </w:t>
      </w:r>
      <w:r w:rsidRPr="00FC1E5A">
        <w:rPr>
          <w:rFonts w:cs="Arial"/>
          <w:lang w:val="en-GB"/>
        </w:rPr>
        <w:t>subsidiar</w:t>
      </w:r>
      <w:r>
        <w:rPr>
          <w:rFonts w:cs="Arial"/>
          <w:lang w:val="en-GB"/>
        </w:rPr>
        <w:t>y of Atradius N.V. and continues to operate “</w:t>
      </w:r>
      <w:r>
        <w:rPr>
          <w:rFonts w:cs="Arial"/>
          <w:i/>
          <w:lang w:val="en-GB"/>
        </w:rPr>
        <w:t>on behalf of and for risk of the State of the Netherlands”</w:t>
      </w:r>
      <w:r>
        <w:rPr>
          <w:rFonts w:cs="Arial"/>
          <w:lang w:val="en-GB"/>
        </w:rPr>
        <w:t xml:space="preserve"> (Ministry of Finance 2010).</w:t>
      </w:r>
      <w:r w:rsidR="00703A47">
        <w:rPr>
          <w:rFonts w:cs="Arial"/>
          <w:lang w:val="en-GB"/>
        </w:rPr>
        <w:t xml:space="preserve"> </w:t>
      </w:r>
      <w:r w:rsidR="00C34386" w:rsidRPr="00FC1E5A">
        <w:rPr>
          <w:rFonts w:cs="Arial"/>
          <w:lang w:val="en-GB"/>
        </w:rPr>
        <w:t xml:space="preserve">Under </w:t>
      </w:r>
      <w:r w:rsidR="007B0ECB">
        <w:rPr>
          <w:rFonts w:cs="Arial"/>
          <w:lang w:val="en-GB"/>
        </w:rPr>
        <w:t xml:space="preserve">its </w:t>
      </w:r>
      <w:r w:rsidR="00C34386" w:rsidRPr="00FC1E5A">
        <w:rPr>
          <w:rFonts w:cs="Arial"/>
          <w:lang w:val="en-GB"/>
        </w:rPr>
        <w:t xml:space="preserve">mandate, </w:t>
      </w:r>
      <w:r w:rsidR="00874D9C">
        <w:rPr>
          <w:rFonts w:cs="Arial"/>
          <w:lang w:val="en-GB"/>
        </w:rPr>
        <w:t>it continues to</w:t>
      </w:r>
      <w:r w:rsidR="004D5808">
        <w:rPr>
          <w:rFonts w:cs="Arial"/>
          <w:lang w:val="en-GB"/>
        </w:rPr>
        <w:t xml:space="preserve"> </w:t>
      </w:r>
      <w:r w:rsidR="00C81385">
        <w:rPr>
          <w:rFonts w:cs="Arial"/>
          <w:lang w:val="en-GB"/>
        </w:rPr>
        <w:t>support</w:t>
      </w:r>
      <w:r w:rsidR="007C7CCF" w:rsidRPr="00FC1E5A">
        <w:rPr>
          <w:rFonts w:cs="Arial"/>
          <w:lang w:val="en-GB"/>
        </w:rPr>
        <w:t xml:space="preserve"> exporters and banks </w:t>
      </w:r>
      <w:r w:rsidR="00C81385">
        <w:rPr>
          <w:rFonts w:cs="Arial"/>
          <w:lang w:val="en-GB"/>
        </w:rPr>
        <w:t>where</w:t>
      </w:r>
      <w:r w:rsidR="00904EE8" w:rsidRPr="00FC1E5A">
        <w:rPr>
          <w:rFonts w:cs="Arial"/>
          <w:lang w:val="en-GB"/>
        </w:rPr>
        <w:t xml:space="preserve"> private export credit insurance </w:t>
      </w:r>
      <w:r w:rsidR="00C81385">
        <w:rPr>
          <w:rFonts w:cs="Arial"/>
          <w:lang w:val="en-GB"/>
        </w:rPr>
        <w:t>do not take the deal</w:t>
      </w:r>
      <w:r w:rsidR="00F104DA">
        <w:rPr>
          <w:rFonts w:cs="Arial"/>
          <w:lang w:val="en-GB"/>
        </w:rPr>
        <w:t xml:space="preserve">, </w:t>
      </w:r>
      <w:r w:rsidR="00904EE8" w:rsidRPr="00FC1E5A">
        <w:rPr>
          <w:rFonts w:cs="Arial"/>
          <w:lang w:val="en-GB"/>
        </w:rPr>
        <w:t>e.g., of a relatively large</w:t>
      </w:r>
      <w:r w:rsidR="00A32EA8">
        <w:rPr>
          <w:rFonts w:cs="Arial"/>
          <w:lang w:val="en-GB"/>
        </w:rPr>
        <w:t xml:space="preserve"> </w:t>
      </w:r>
      <w:r w:rsidR="00D5487D">
        <w:rPr>
          <w:rFonts w:cs="Arial"/>
          <w:lang w:val="en-GB"/>
        </w:rPr>
        <w:t>and/</w:t>
      </w:r>
      <w:r w:rsidR="00A32EA8">
        <w:rPr>
          <w:rFonts w:cs="Arial"/>
          <w:lang w:val="en-GB"/>
        </w:rPr>
        <w:t>or risky</w:t>
      </w:r>
      <w:r w:rsidR="00904EE8" w:rsidRPr="00FC1E5A">
        <w:rPr>
          <w:rFonts w:cs="Arial"/>
          <w:lang w:val="en-GB"/>
        </w:rPr>
        <w:t xml:space="preserve"> transaction (Government of the Netherlands 2021</w:t>
      </w:r>
      <w:r w:rsidR="00F233D1">
        <w:rPr>
          <w:rFonts w:cs="Arial"/>
          <w:lang w:val="en-GB"/>
        </w:rPr>
        <w:t>a</w:t>
      </w:r>
      <w:r w:rsidR="00904EE8" w:rsidRPr="00FC1E5A">
        <w:rPr>
          <w:rFonts w:cs="Arial"/>
          <w:lang w:val="en-GB"/>
        </w:rPr>
        <w:t>).</w:t>
      </w:r>
      <w:r w:rsidR="00BC69D3">
        <w:rPr>
          <w:rFonts w:cs="Arial"/>
          <w:lang w:val="en-GB"/>
        </w:rPr>
        <w:t xml:space="preserve"> Thus, Atradius DSB </w:t>
      </w:r>
      <w:r w:rsidR="00CD716F">
        <w:rPr>
          <w:rFonts w:cs="Arial"/>
          <w:lang w:val="en-GB"/>
        </w:rPr>
        <w:t>is</w:t>
      </w:r>
      <w:r w:rsidR="00BC69D3">
        <w:rPr>
          <w:rFonts w:cs="Arial"/>
          <w:lang w:val="en-GB"/>
        </w:rPr>
        <w:t xml:space="preserve"> an ‘insurer of last resort’</w:t>
      </w:r>
      <w:r w:rsidR="00623240">
        <w:rPr>
          <w:rFonts w:cs="Arial"/>
          <w:lang w:val="en-GB"/>
        </w:rPr>
        <w:t xml:space="preserve"> and project cover applicants have to demonstrate the need for </w:t>
      </w:r>
      <w:r w:rsidR="00A00705">
        <w:rPr>
          <w:rFonts w:cs="Arial"/>
          <w:lang w:val="en-GB"/>
        </w:rPr>
        <w:t>official backing of their export transaction</w:t>
      </w:r>
      <w:r w:rsidR="00BC69D3">
        <w:rPr>
          <w:rFonts w:cs="Arial"/>
          <w:lang w:val="en-GB"/>
        </w:rPr>
        <w:t xml:space="preserve">. </w:t>
      </w:r>
      <w:r w:rsidR="001B1D4B">
        <w:rPr>
          <w:rFonts w:cs="Arial"/>
          <w:lang w:val="en-GB"/>
        </w:rPr>
        <w:t>This may occur</w:t>
      </w:r>
      <w:r w:rsidR="0077140E">
        <w:rPr>
          <w:rFonts w:cs="Arial"/>
          <w:lang w:val="en-GB"/>
        </w:rPr>
        <w:t xml:space="preserve"> if </w:t>
      </w:r>
      <w:r w:rsidR="00231B34" w:rsidRPr="00FC1E5A">
        <w:rPr>
          <w:rFonts w:cs="Arial"/>
          <w:lang w:val="en-GB"/>
        </w:rPr>
        <w:t>“</w:t>
      </w:r>
      <w:r w:rsidR="00231B34" w:rsidRPr="00FC1E5A">
        <w:rPr>
          <w:rFonts w:cs="Arial"/>
          <w:i/>
          <w:lang w:val="en-GB"/>
        </w:rPr>
        <w:t>private export credit insurance cannot cover the losses</w:t>
      </w:r>
      <w:r w:rsidR="00231B34" w:rsidRPr="00FC1E5A">
        <w:rPr>
          <w:rFonts w:cs="Arial"/>
          <w:lang w:val="en-GB"/>
        </w:rPr>
        <w:t>”</w:t>
      </w:r>
      <w:r w:rsidR="00560D2B">
        <w:rPr>
          <w:rFonts w:cs="Arial"/>
          <w:lang w:val="en-GB"/>
        </w:rPr>
        <w:t xml:space="preserve"> which may apply for “</w:t>
      </w:r>
      <w:r w:rsidR="00560D2B" w:rsidRPr="00560D2B">
        <w:rPr>
          <w:rFonts w:cs="Arial"/>
          <w:i/>
          <w:lang w:val="en-GB"/>
        </w:rPr>
        <w:t>extremely large transactions, for example, very long-term maturities, or exports to unstable countries</w:t>
      </w:r>
      <w:r w:rsidR="00560D2B">
        <w:rPr>
          <w:rFonts w:cs="Arial"/>
          <w:lang w:val="en-GB"/>
        </w:rPr>
        <w:t>”</w:t>
      </w:r>
      <w:r w:rsidR="001B1D4B">
        <w:rPr>
          <w:rFonts w:cs="Arial"/>
          <w:lang w:val="en-GB"/>
        </w:rPr>
        <w:t xml:space="preserve"> (</w:t>
      </w:r>
      <w:r w:rsidR="001B1D4B" w:rsidRPr="003240C8">
        <w:rPr>
          <w:rFonts w:cs="Arial"/>
          <w:i/>
          <w:iCs/>
          <w:lang w:val="en-GB"/>
        </w:rPr>
        <w:t>ibid.</w:t>
      </w:r>
      <w:r w:rsidR="001B1D4B">
        <w:rPr>
          <w:rFonts w:cs="Arial"/>
          <w:lang w:val="en-GB"/>
        </w:rPr>
        <w:t>)</w:t>
      </w:r>
      <w:r w:rsidR="00231B34" w:rsidRPr="00FC1E5A">
        <w:rPr>
          <w:rFonts w:cs="Arial"/>
          <w:lang w:val="en-GB"/>
        </w:rPr>
        <w:t xml:space="preserve">. </w:t>
      </w:r>
      <w:r w:rsidR="002F7B92">
        <w:rPr>
          <w:rFonts w:cs="Arial"/>
          <w:lang w:val="en-GB"/>
        </w:rPr>
        <w:t xml:space="preserve">Noteworthy is that </w:t>
      </w:r>
      <w:r w:rsidR="001B1D4B">
        <w:rPr>
          <w:rFonts w:cs="Arial"/>
          <w:lang w:val="en-GB"/>
        </w:rPr>
        <w:t>Atradius DSB</w:t>
      </w:r>
      <w:r w:rsidR="007D7150" w:rsidRPr="00FC1E5A">
        <w:rPr>
          <w:rFonts w:cs="Arial"/>
          <w:lang w:val="en-GB"/>
        </w:rPr>
        <w:t xml:space="preserve"> is a pure cover ECA, i.e., does not issue loans</w:t>
      </w:r>
      <w:r w:rsidR="007F7063">
        <w:rPr>
          <w:rFonts w:cs="Arial"/>
          <w:lang w:val="en-GB"/>
        </w:rPr>
        <w:t xml:space="preserve">, and </w:t>
      </w:r>
      <w:r w:rsidR="00176217">
        <w:rPr>
          <w:rFonts w:cs="Arial"/>
          <w:lang w:val="en-GB"/>
        </w:rPr>
        <w:t>covers both political and commercial</w:t>
      </w:r>
      <w:r w:rsidR="006C7C7A">
        <w:rPr>
          <w:rFonts w:cs="Arial"/>
          <w:lang w:val="en-GB"/>
        </w:rPr>
        <w:t xml:space="preserve"> risks</w:t>
      </w:r>
      <w:r w:rsidR="00176217">
        <w:rPr>
          <w:rFonts w:cs="Arial"/>
          <w:lang w:val="en-GB"/>
        </w:rPr>
        <w:t>.</w:t>
      </w:r>
      <w:r w:rsidR="006C7C7A">
        <w:rPr>
          <w:rFonts w:cs="Arial"/>
          <w:lang w:val="en-GB"/>
        </w:rPr>
        <w:t xml:space="preserve"> </w:t>
      </w:r>
      <w:r w:rsidR="00DB7B1B">
        <w:rPr>
          <w:rFonts w:cs="Arial"/>
          <w:lang w:val="en-GB"/>
        </w:rPr>
        <w:fldChar w:fldCharType="begin"/>
      </w:r>
      <w:r w:rsidR="00DB7B1B">
        <w:rPr>
          <w:rFonts w:cs="Arial"/>
          <w:lang w:val="en-GB"/>
        </w:rPr>
        <w:instrText xml:space="preserve"> REF _Ref81311136 \h </w:instrText>
      </w:r>
      <w:r w:rsidR="00DB7B1B">
        <w:rPr>
          <w:rFonts w:cs="Arial"/>
          <w:lang w:val="en-GB"/>
        </w:rPr>
      </w:r>
      <w:r w:rsidR="00DB7B1B">
        <w:rPr>
          <w:rFonts w:cs="Arial"/>
          <w:lang w:val="en-GB"/>
        </w:rPr>
        <w:fldChar w:fldCharType="separate"/>
      </w:r>
      <w:r w:rsidR="00DB7B1B">
        <w:t xml:space="preserve">Table </w:t>
      </w:r>
      <w:r w:rsidR="00DB7B1B">
        <w:rPr>
          <w:noProof/>
        </w:rPr>
        <w:t>1</w:t>
      </w:r>
      <w:r w:rsidR="00DB7B1B">
        <w:rPr>
          <w:rFonts w:cs="Arial"/>
          <w:lang w:val="en-GB"/>
        </w:rPr>
        <w:fldChar w:fldCharType="end"/>
      </w:r>
      <w:r w:rsidR="001D71BF">
        <w:rPr>
          <w:rFonts w:cs="Arial"/>
          <w:lang w:val="en-GB"/>
        </w:rPr>
        <w:t xml:space="preserve"> provides an overview of Atradius DSB´s organisation and activities.</w:t>
      </w:r>
      <w:r w:rsidR="00E60C5E" w:rsidRPr="00FC1E5A">
        <w:rPr>
          <w:rFonts w:cs="Arial"/>
          <w:lang w:val="en-GB"/>
        </w:rPr>
        <w:t xml:space="preserve"> </w:t>
      </w:r>
      <w:r w:rsidR="004076B1">
        <w:rPr>
          <w:rFonts w:cs="Arial"/>
          <w:lang w:val="en-GB"/>
        </w:rPr>
        <w:t>The ECA</w:t>
      </w:r>
      <w:r w:rsidR="00CE2679" w:rsidRPr="00FC1E5A">
        <w:rPr>
          <w:rFonts w:cs="Arial"/>
          <w:lang w:val="en-GB"/>
        </w:rPr>
        <w:t xml:space="preserve"> issues the majority (84%) of its credit insurance policies through its</w:t>
      </w:r>
      <w:r w:rsidR="00DA7E11">
        <w:rPr>
          <w:rFonts w:cs="Arial"/>
          <w:lang w:val="en-GB"/>
        </w:rPr>
        <w:t xml:space="preserve"> main</w:t>
      </w:r>
      <w:r w:rsidR="00CE2679" w:rsidRPr="00FC1E5A">
        <w:rPr>
          <w:rFonts w:cs="Arial"/>
          <w:lang w:val="en-GB"/>
        </w:rPr>
        <w:t xml:space="preserve"> export credit insurance facility </w:t>
      </w:r>
      <w:r w:rsidR="00FA56B3">
        <w:rPr>
          <w:rFonts w:cs="Arial"/>
          <w:lang w:val="en-GB"/>
        </w:rPr>
        <w:t>‘</w:t>
      </w:r>
      <w:proofErr w:type="spellStart"/>
      <w:r w:rsidR="00CE2679" w:rsidRPr="00FC1E5A">
        <w:rPr>
          <w:rFonts w:cs="Arial"/>
          <w:i/>
          <w:lang w:val="en-GB"/>
        </w:rPr>
        <w:t>exportkredietverzekering</w:t>
      </w:r>
      <w:proofErr w:type="spellEnd"/>
      <w:r w:rsidR="00311FDA">
        <w:rPr>
          <w:rFonts w:cs="Arial"/>
          <w:lang w:val="en-GB"/>
        </w:rPr>
        <w:t>’</w:t>
      </w:r>
      <w:r w:rsidR="00CE2679" w:rsidRPr="00FC1E5A">
        <w:rPr>
          <w:rFonts w:cs="Arial"/>
          <w:lang w:val="en-GB"/>
        </w:rPr>
        <w:t xml:space="preserve"> </w:t>
      </w:r>
      <w:r w:rsidR="00CE2679" w:rsidRPr="00311FDA">
        <w:rPr>
          <w:rFonts w:cs="Arial"/>
          <w:lang w:val="en-GB"/>
        </w:rPr>
        <w:t>(</w:t>
      </w:r>
      <w:proofErr w:type="spellStart"/>
      <w:r w:rsidR="00CE2679" w:rsidRPr="00C40BB6">
        <w:rPr>
          <w:rFonts w:cs="Arial"/>
          <w:i/>
          <w:iCs/>
          <w:lang w:val="en-GB"/>
        </w:rPr>
        <w:t>ekv</w:t>
      </w:r>
      <w:proofErr w:type="spellEnd"/>
      <w:r w:rsidR="00CE2679" w:rsidRPr="00311FDA">
        <w:rPr>
          <w:rFonts w:cs="Arial"/>
          <w:lang w:val="en-GB"/>
        </w:rPr>
        <w:t>)</w:t>
      </w:r>
      <w:r w:rsidR="00CE2679" w:rsidRPr="00FC1E5A">
        <w:rPr>
          <w:rFonts w:cs="Arial"/>
          <w:lang w:val="en-GB"/>
        </w:rPr>
        <w:t xml:space="preserve">. This corresponds to about 112 policies issued per </w:t>
      </w:r>
      <w:r w:rsidR="00CE2679">
        <w:rPr>
          <w:rFonts w:cs="Arial"/>
          <w:lang w:val="en-GB"/>
        </w:rPr>
        <w:t>y</w:t>
      </w:r>
      <w:r w:rsidR="00CE2679" w:rsidRPr="00FC1E5A">
        <w:rPr>
          <w:rFonts w:cs="Arial"/>
          <w:lang w:val="en-GB"/>
        </w:rPr>
        <w:t>ear (</w:t>
      </w:r>
      <w:r w:rsidR="00DF4014">
        <w:rPr>
          <w:rFonts w:cs="Arial"/>
          <w:lang w:val="en-GB"/>
        </w:rPr>
        <w:t>o</w:t>
      </w:r>
      <w:r w:rsidR="005C02F8">
        <w:rPr>
          <w:rFonts w:cs="Arial"/>
          <w:lang w:val="en-GB"/>
        </w:rPr>
        <w:t xml:space="preserve">wn calculation of the average issuance of policies under the </w:t>
      </w:r>
      <w:proofErr w:type="spellStart"/>
      <w:r w:rsidR="005C02F8" w:rsidRPr="005865F4">
        <w:rPr>
          <w:rFonts w:cs="Arial"/>
          <w:i/>
          <w:iCs/>
          <w:lang w:val="en-GB"/>
        </w:rPr>
        <w:t>ekv</w:t>
      </w:r>
      <w:proofErr w:type="spellEnd"/>
      <w:r w:rsidR="005865F4">
        <w:rPr>
          <w:rFonts w:cs="Arial"/>
          <w:iCs/>
          <w:lang w:val="en-GB"/>
        </w:rPr>
        <w:t xml:space="preserve"> facility</w:t>
      </w:r>
      <w:r w:rsidR="005C02F8">
        <w:rPr>
          <w:rFonts w:cs="Arial"/>
          <w:lang w:val="en-GB"/>
        </w:rPr>
        <w:t xml:space="preserve"> over the past three years, based on </w:t>
      </w:r>
      <w:r w:rsidR="00CE2679" w:rsidRPr="00FC1E5A">
        <w:rPr>
          <w:rFonts w:cs="Arial"/>
          <w:lang w:val="en-GB"/>
        </w:rPr>
        <w:t>Atradius DSB 2020</w:t>
      </w:r>
      <w:r w:rsidR="00E76C61">
        <w:rPr>
          <w:rFonts w:cs="Arial"/>
          <w:lang w:val="en-GB"/>
        </w:rPr>
        <w:t>a</w:t>
      </w:r>
      <w:r w:rsidR="00CE2679" w:rsidRPr="00FC1E5A">
        <w:rPr>
          <w:rFonts w:cs="Arial"/>
          <w:lang w:val="en-GB"/>
        </w:rPr>
        <w:t>).</w:t>
      </w:r>
      <w:r w:rsidR="0002599C" w:rsidRPr="00FC1E5A" w:rsidDel="0002599C">
        <w:rPr>
          <w:rStyle w:val="Funotenzeichen"/>
          <w:rFonts w:cs="Arial"/>
          <w:lang w:val="en-GB"/>
        </w:rPr>
        <w:t xml:space="preserve"> </w:t>
      </w:r>
      <w:r w:rsidR="00E75AA3">
        <w:rPr>
          <w:rFonts w:cs="Arial"/>
          <w:lang w:val="en-GB"/>
        </w:rPr>
        <w:t xml:space="preserve"> </w:t>
      </w:r>
      <w:r w:rsidR="00231B34" w:rsidRPr="00FC1E5A">
        <w:rPr>
          <w:rFonts w:cs="Arial"/>
          <w:lang w:val="en-GB"/>
        </w:rPr>
        <w:t xml:space="preserve">Other government facilities in which Atradius DSB operates on behalf of the Dutch State include the foreign investment insurance scheme as well as insurance and financing facilities under the Dutch Good Growth Fund (DGGF) </w:t>
      </w:r>
      <w:r w:rsidR="00FE0B82">
        <w:rPr>
          <w:rFonts w:cs="Arial"/>
          <w:lang w:val="en-GB"/>
        </w:rPr>
        <w:t xml:space="preserve">and </w:t>
      </w:r>
      <w:r w:rsidR="00231B34" w:rsidRPr="00FC1E5A">
        <w:rPr>
          <w:rFonts w:cs="Arial"/>
          <w:lang w:val="en-GB"/>
        </w:rPr>
        <w:t xml:space="preserve">the Dutch Trade &amp; Investment Fund (DTIF). The responsible </w:t>
      </w:r>
      <w:r w:rsidR="00231B34">
        <w:rPr>
          <w:rFonts w:cs="Arial"/>
          <w:lang w:val="en-GB"/>
        </w:rPr>
        <w:t xml:space="preserve">government </w:t>
      </w:r>
      <w:r w:rsidR="00231B34" w:rsidRPr="00FC1E5A">
        <w:rPr>
          <w:rFonts w:cs="Arial"/>
          <w:lang w:val="en-GB"/>
        </w:rPr>
        <w:t>counterparts are the Ministry of Finance as well as the Ministry of Foreign Affairs. In some instances, Atradius DSB collaborates closely with public development finance institutions in the Netherlands or abroad, such as the Netherlands Enterprise Agency</w:t>
      </w:r>
      <w:r w:rsidR="001756ED">
        <w:rPr>
          <w:rFonts w:cs="Arial"/>
          <w:lang w:val="en-GB"/>
        </w:rPr>
        <w:t>,</w:t>
      </w:r>
      <w:r w:rsidR="00A23252">
        <w:rPr>
          <w:rFonts w:cs="Arial"/>
          <w:lang w:val="en-GB"/>
        </w:rPr>
        <w:t xml:space="preserve"> </w:t>
      </w:r>
      <w:proofErr w:type="spellStart"/>
      <w:r w:rsidR="00A23252" w:rsidRPr="00EC285E">
        <w:rPr>
          <w:rFonts w:cs="Arial"/>
          <w:i/>
          <w:lang w:val="en-GB"/>
        </w:rPr>
        <w:t>Rijksdienst</w:t>
      </w:r>
      <w:proofErr w:type="spellEnd"/>
      <w:r w:rsidR="00A23252" w:rsidRPr="00EC285E">
        <w:rPr>
          <w:rFonts w:cs="Arial"/>
          <w:i/>
          <w:lang w:val="en-GB"/>
        </w:rPr>
        <w:t xml:space="preserve"> </w:t>
      </w:r>
      <w:proofErr w:type="spellStart"/>
      <w:r w:rsidR="00A23252" w:rsidRPr="00EC285E">
        <w:rPr>
          <w:rFonts w:cs="Arial"/>
          <w:i/>
          <w:lang w:val="en-GB"/>
        </w:rPr>
        <w:t>voor</w:t>
      </w:r>
      <w:proofErr w:type="spellEnd"/>
      <w:r w:rsidR="00A23252" w:rsidRPr="00EC285E">
        <w:rPr>
          <w:rFonts w:cs="Arial"/>
          <w:i/>
          <w:lang w:val="en-GB"/>
        </w:rPr>
        <w:t xml:space="preserve"> </w:t>
      </w:r>
      <w:proofErr w:type="spellStart"/>
      <w:r w:rsidR="00A23252" w:rsidRPr="00EC285E">
        <w:rPr>
          <w:rFonts w:cs="Arial"/>
          <w:i/>
          <w:lang w:val="en-GB"/>
        </w:rPr>
        <w:t>Ondernemend</w:t>
      </w:r>
      <w:proofErr w:type="spellEnd"/>
      <w:r w:rsidR="00A23252" w:rsidRPr="00EC285E">
        <w:rPr>
          <w:rFonts w:cs="Arial"/>
          <w:i/>
          <w:lang w:val="en-GB"/>
        </w:rPr>
        <w:t xml:space="preserve"> Nederland</w:t>
      </w:r>
      <w:r w:rsidR="00A23252" w:rsidRPr="00A23252">
        <w:rPr>
          <w:rFonts w:cs="Arial"/>
          <w:lang w:val="en-GB"/>
        </w:rPr>
        <w:t xml:space="preserve"> </w:t>
      </w:r>
      <w:r w:rsidR="00A23252" w:rsidRPr="00BE7CED">
        <w:rPr>
          <w:rFonts w:cs="Arial"/>
          <w:lang w:val="en-GB"/>
        </w:rPr>
        <w:t>(RVO)</w:t>
      </w:r>
      <w:r w:rsidR="00B6493C">
        <w:rPr>
          <w:rFonts w:cs="Arial"/>
          <w:lang w:val="en-GB"/>
        </w:rPr>
        <w:t>,</w:t>
      </w:r>
      <w:r w:rsidR="00CB78ED">
        <w:rPr>
          <w:rFonts w:cs="Arial"/>
          <w:lang w:val="en-GB"/>
        </w:rPr>
        <w:t xml:space="preserve"> </w:t>
      </w:r>
      <w:r w:rsidR="00231B34" w:rsidRPr="00FC1E5A">
        <w:rPr>
          <w:rFonts w:cs="Arial"/>
          <w:lang w:val="en-GB"/>
        </w:rPr>
        <w:t xml:space="preserve">or the </w:t>
      </w:r>
      <w:r w:rsidR="00320804">
        <w:rPr>
          <w:rFonts w:cs="Arial"/>
          <w:lang w:val="en-GB"/>
        </w:rPr>
        <w:t xml:space="preserve">Dutch </w:t>
      </w:r>
      <w:r w:rsidR="00231B34" w:rsidRPr="00FC1E5A">
        <w:rPr>
          <w:rFonts w:cs="Arial"/>
          <w:lang w:val="en-GB"/>
        </w:rPr>
        <w:t>Entrepreneurial Development Bank</w:t>
      </w:r>
      <w:r w:rsidR="00680C79">
        <w:rPr>
          <w:rFonts w:cs="Arial"/>
          <w:lang w:val="en-GB"/>
        </w:rPr>
        <w:t xml:space="preserve">, </w:t>
      </w:r>
      <w:proofErr w:type="spellStart"/>
      <w:r w:rsidR="00680C79" w:rsidRPr="00EC285E">
        <w:rPr>
          <w:rFonts w:cs="Arial"/>
          <w:i/>
          <w:lang w:val="en-GB"/>
        </w:rPr>
        <w:t>Nederlandse</w:t>
      </w:r>
      <w:proofErr w:type="spellEnd"/>
      <w:r w:rsidR="00680C79" w:rsidRPr="00EC285E">
        <w:rPr>
          <w:rFonts w:cs="Arial"/>
          <w:i/>
          <w:lang w:val="en-GB"/>
        </w:rPr>
        <w:t xml:space="preserve"> </w:t>
      </w:r>
      <w:proofErr w:type="spellStart"/>
      <w:r w:rsidR="00680C79" w:rsidRPr="00EC285E">
        <w:rPr>
          <w:rFonts w:cs="Arial"/>
          <w:i/>
          <w:lang w:val="en-GB"/>
        </w:rPr>
        <w:t>Financierings-Maatschappij</w:t>
      </w:r>
      <w:proofErr w:type="spellEnd"/>
      <w:r w:rsidR="00680C79" w:rsidRPr="00EC285E">
        <w:rPr>
          <w:rFonts w:cs="Arial"/>
          <w:i/>
          <w:lang w:val="en-GB"/>
        </w:rPr>
        <w:t xml:space="preserve"> </w:t>
      </w:r>
      <w:proofErr w:type="spellStart"/>
      <w:r w:rsidR="00680C79" w:rsidRPr="00EC285E">
        <w:rPr>
          <w:rFonts w:cs="Arial"/>
          <w:i/>
          <w:lang w:val="en-GB"/>
        </w:rPr>
        <w:t>voor</w:t>
      </w:r>
      <w:proofErr w:type="spellEnd"/>
      <w:r w:rsidR="00680C79" w:rsidRPr="00EC285E">
        <w:rPr>
          <w:rFonts w:cs="Arial"/>
          <w:i/>
          <w:lang w:val="en-GB"/>
        </w:rPr>
        <w:t xml:space="preserve"> </w:t>
      </w:r>
      <w:proofErr w:type="spellStart"/>
      <w:r w:rsidR="00680C79" w:rsidRPr="00EC285E">
        <w:rPr>
          <w:rFonts w:cs="Arial"/>
          <w:i/>
          <w:lang w:val="en-GB"/>
        </w:rPr>
        <w:t>Ontwikkelingslanden</w:t>
      </w:r>
      <w:proofErr w:type="spellEnd"/>
      <w:r w:rsidR="00680C79" w:rsidRPr="00EC285E">
        <w:rPr>
          <w:rFonts w:cs="Arial"/>
          <w:i/>
          <w:lang w:val="en-GB"/>
        </w:rPr>
        <w:t xml:space="preserve"> </w:t>
      </w:r>
      <w:r w:rsidR="00680C79" w:rsidRPr="00BE7CED">
        <w:rPr>
          <w:rFonts w:cs="Arial"/>
          <w:lang w:val="en-GB"/>
        </w:rPr>
        <w:t>(FMO)</w:t>
      </w:r>
      <w:r w:rsidR="005B0473">
        <w:rPr>
          <w:rFonts w:cs="Arial"/>
          <w:lang w:val="en-GB"/>
        </w:rPr>
        <w:t>.</w:t>
      </w:r>
      <w:r w:rsidR="00231B34" w:rsidRPr="00FC1E5A">
        <w:rPr>
          <w:rFonts w:cs="Arial"/>
          <w:lang w:val="en-GB"/>
        </w:rPr>
        <w:t xml:space="preserve"> This may be the case if co-financing by development finance institutions is involved</w:t>
      </w:r>
      <w:r w:rsidR="001B1D4B">
        <w:rPr>
          <w:rFonts w:cs="Arial"/>
          <w:lang w:val="en-GB"/>
        </w:rPr>
        <w:t xml:space="preserve"> in a given project</w:t>
      </w:r>
      <w:r w:rsidR="00231B34" w:rsidRPr="00FC1E5A">
        <w:rPr>
          <w:rFonts w:cs="Arial"/>
          <w:lang w:val="en-GB"/>
        </w:rPr>
        <w:t xml:space="preserve">. </w:t>
      </w:r>
    </w:p>
    <w:p w14:paraId="638BF298" w14:textId="77777777" w:rsidR="00322D22" w:rsidRPr="00EC285E" w:rsidRDefault="00322D22" w:rsidP="00070A29">
      <w:pPr>
        <w:pStyle w:val="Beschriftung"/>
        <w:spacing w:after="0"/>
        <w:rPr>
          <w:i/>
          <w:sz w:val="20"/>
          <w:szCs w:val="20"/>
        </w:rPr>
      </w:pPr>
      <w:bookmarkStart w:id="8" w:name="_Ref81311136"/>
      <w:r w:rsidRPr="00EC285E">
        <w:rPr>
          <w:sz w:val="20"/>
          <w:szCs w:val="20"/>
        </w:rPr>
        <w:lastRenderedPageBreak/>
        <w:t xml:space="preserve">Table </w:t>
      </w:r>
      <w:r w:rsidRPr="00EC285E">
        <w:rPr>
          <w:sz w:val="20"/>
          <w:szCs w:val="20"/>
        </w:rPr>
        <w:fldChar w:fldCharType="begin"/>
      </w:r>
      <w:r w:rsidRPr="00EC285E">
        <w:rPr>
          <w:sz w:val="20"/>
          <w:szCs w:val="20"/>
        </w:rPr>
        <w:instrText xml:space="preserve"> SEQ Table \* ARABIC </w:instrText>
      </w:r>
      <w:r w:rsidRPr="00EC285E">
        <w:rPr>
          <w:sz w:val="20"/>
          <w:szCs w:val="20"/>
        </w:rPr>
        <w:fldChar w:fldCharType="separate"/>
      </w:r>
      <w:r w:rsidR="00D00941" w:rsidRPr="00EC285E">
        <w:rPr>
          <w:noProof/>
          <w:sz w:val="20"/>
          <w:szCs w:val="20"/>
        </w:rPr>
        <w:t>1</w:t>
      </w:r>
      <w:r w:rsidRPr="00EC285E">
        <w:rPr>
          <w:sz w:val="20"/>
          <w:szCs w:val="20"/>
        </w:rPr>
        <w:fldChar w:fldCharType="end"/>
      </w:r>
      <w:bookmarkEnd w:id="8"/>
      <w:r w:rsidRPr="00EC285E">
        <w:rPr>
          <w:sz w:val="20"/>
          <w:szCs w:val="20"/>
        </w:rPr>
        <w:t>: Overview of the Dutch ECA Atradius DSB</w:t>
      </w:r>
      <w:r w:rsidR="00AF5B19" w:rsidRPr="00EC285E">
        <w:rPr>
          <w:sz w:val="20"/>
          <w:szCs w:val="20"/>
        </w:rPr>
        <w:t xml:space="preserve"> </w:t>
      </w:r>
      <w:r w:rsidR="00B31147" w:rsidRPr="00EC285E">
        <w:rPr>
          <w:sz w:val="20"/>
          <w:szCs w:val="20"/>
        </w:rPr>
        <w:t xml:space="preserve">main facility </w:t>
      </w:r>
      <w:proofErr w:type="spellStart"/>
      <w:r w:rsidR="00AF5B19" w:rsidRPr="00EC285E">
        <w:rPr>
          <w:i/>
          <w:sz w:val="20"/>
          <w:szCs w:val="20"/>
        </w:rPr>
        <w:t>ekv</w:t>
      </w:r>
      <w:proofErr w:type="spellEnd"/>
      <w:r w:rsidR="00166F2D" w:rsidRPr="00EC285E">
        <w:rPr>
          <w:i/>
          <w:sz w:val="20"/>
          <w:szCs w:val="20"/>
        </w:rPr>
        <w:t>.</w:t>
      </w:r>
    </w:p>
    <w:tbl>
      <w:tblPr>
        <w:tblStyle w:val="Tabellenraster"/>
        <w:tblW w:w="9122" w:type="dxa"/>
        <w:tblLayout w:type="fixed"/>
        <w:tblLook w:val="04A0" w:firstRow="1" w:lastRow="0" w:firstColumn="1" w:lastColumn="0" w:noHBand="0" w:noVBand="1"/>
      </w:tblPr>
      <w:tblGrid>
        <w:gridCol w:w="1838"/>
        <w:gridCol w:w="7284"/>
      </w:tblGrid>
      <w:tr w:rsidR="00157C6B" w:rsidRPr="002E51FC" w14:paraId="4BAD9663" w14:textId="77777777" w:rsidTr="002D7C3B">
        <w:trPr>
          <w:trHeight w:val="389"/>
        </w:trPr>
        <w:tc>
          <w:tcPr>
            <w:tcW w:w="9122" w:type="dxa"/>
            <w:gridSpan w:val="2"/>
            <w:shd w:val="clear" w:color="auto" w:fill="1F497D" w:themeFill="text2"/>
          </w:tcPr>
          <w:p w14:paraId="0AE699F9" w14:textId="77777777" w:rsidR="00157C6B" w:rsidRPr="00EC285E" w:rsidRDefault="00157C6B" w:rsidP="002923FE">
            <w:pPr>
              <w:keepNext/>
              <w:keepLines/>
              <w:spacing w:after="0" w:line="276" w:lineRule="auto"/>
              <w:rPr>
                <w:rFonts w:cs="Arial"/>
                <w:b/>
                <w:bCs/>
                <w:color w:val="FFFFFF" w:themeColor="background1"/>
                <w:lang w:val="en-GB"/>
              </w:rPr>
            </w:pPr>
            <w:r w:rsidRPr="00EC285E">
              <w:rPr>
                <w:rFonts w:cs="Arial"/>
                <w:b/>
                <w:bCs/>
                <w:color w:val="FFFFFF" w:themeColor="background1"/>
                <w:lang w:val="en-GB"/>
              </w:rPr>
              <w:t>Key facts Atradius DSB</w:t>
            </w:r>
          </w:p>
        </w:tc>
      </w:tr>
      <w:tr w:rsidR="00157C6B" w:rsidRPr="002E51FC" w14:paraId="40E64960" w14:textId="77777777" w:rsidTr="002D7C3B">
        <w:trPr>
          <w:trHeight w:val="20"/>
        </w:trPr>
        <w:tc>
          <w:tcPr>
            <w:tcW w:w="1838" w:type="dxa"/>
          </w:tcPr>
          <w:p w14:paraId="5D6F1EE4" w14:textId="77777777" w:rsidR="00157C6B" w:rsidRPr="00EC285E" w:rsidRDefault="00157C6B" w:rsidP="002923FE">
            <w:pPr>
              <w:keepNext/>
              <w:keepLines/>
              <w:spacing w:after="0" w:line="276" w:lineRule="auto"/>
              <w:jc w:val="left"/>
              <w:rPr>
                <w:rFonts w:cs="Arial"/>
                <w:lang w:val="en-GB"/>
              </w:rPr>
            </w:pPr>
            <w:r w:rsidRPr="00EC285E">
              <w:rPr>
                <w:rFonts w:cs="Arial"/>
                <w:lang w:val="en-GB"/>
              </w:rPr>
              <w:t>Type of ECA</w:t>
            </w:r>
          </w:p>
        </w:tc>
        <w:tc>
          <w:tcPr>
            <w:tcW w:w="7284" w:type="dxa"/>
          </w:tcPr>
          <w:p w14:paraId="0B01033F" w14:textId="77777777" w:rsidR="00157C6B" w:rsidRPr="00EC285E" w:rsidRDefault="00157C6B" w:rsidP="002923FE">
            <w:pPr>
              <w:keepNext/>
              <w:keepLines/>
              <w:spacing w:after="0" w:line="276" w:lineRule="auto"/>
              <w:jc w:val="left"/>
              <w:rPr>
                <w:rFonts w:cs="Arial"/>
                <w:lang w:val="en-GB"/>
              </w:rPr>
            </w:pPr>
            <w:r w:rsidRPr="00EC285E">
              <w:rPr>
                <w:rFonts w:cs="Arial"/>
                <w:lang w:val="en-GB"/>
              </w:rPr>
              <w:t>Mandated private</w:t>
            </w:r>
            <w:r w:rsidR="007D7150" w:rsidRPr="00EC285E">
              <w:rPr>
                <w:rFonts w:cs="Arial"/>
                <w:lang w:val="en-GB"/>
              </w:rPr>
              <w:t>, pure cover</w:t>
            </w:r>
          </w:p>
        </w:tc>
      </w:tr>
      <w:tr w:rsidR="00157C6B" w:rsidRPr="002E51FC" w14:paraId="2B72A256" w14:textId="77777777" w:rsidTr="002D7C3B">
        <w:trPr>
          <w:trHeight w:val="20"/>
        </w:trPr>
        <w:tc>
          <w:tcPr>
            <w:tcW w:w="1838" w:type="dxa"/>
          </w:tcPr>
          <w:p w14:paraId="5D99B846" w14:textId="77777777" w:rsidR="00157C6B" w:rsidRPr="00EC285E" w:rsidRDefault="00157C6B" w:rsidP="002923FE">
            <w:pPr>
              <w:keepNext/>
              <w:keepLines/>
              <w:spacing w:after="0" w:line="276" w:lineRule="auto"/>
              <w:jc w:val="left"/>
              <w:rPr>
                <w:rFonts w:cs="Arial"/>
                <w:lang w:val="en-GB"/>
              </w:rPr>
            </w:pPr>
            <w:r w:rsidRPr="00EC285E">
              <w:rPr>
                <w:rFonts w:cs="Arial"/>
                <w:lang w:val="en-GB"/>
              </w:rPr>
              <w:t>Main sectors*</w:t>
            </w:r>
          </w:p>
        </w:tc>
        <w:tc>
          <w:tcPr>
            <w:tcW w:w="7284" w:type="dxa"/>
          </w:tcPr>
          <w:p w14:paraId="6D3F2B72" w14:textId="77777777" w:rsidR="00157C6B" w:rsidRPr="00EC285E" w:rsidRDefault="00157C6B" w:rsidP="002923FE">
            <w:pPr>
              <w:keepNext/>
              <w:keepLines/>
              <w:spacing w:after="0" w:line="276" w:lineRule="auto"/>
              <w:jc w:val="left"/>
              <w:rPr>
                <w:rFonts w:cs="Arial"/>
                <w:lang w:val="en-GB"/>
              </w:rPr>
            </w:pPr>
            <w:r w:rsidRPr="00EC285E">
              <w:rPr>
                <w:rFonts w:cs="Arial"/>
                <w:lang w:val="en-GB"/>
              </w:rPr>
              <w:t>Machines and electronics (31%), oil and gas infrastructure (17%), shipbuilding (17%)</w:t>
            </w:r>
            <w:r w:rsidR="006D4042" w:rsidRPr="00EC285E">
              <w:rPr>
                <w:rFonts w:cs="Arial"/>
                <w:lang w:val="en-GB"/>
              </w:rPr>
              <w:t>. Share corresponds to number of policies awarded.</w:t>
            </w:r>
          </w:p>
        </w:tc>
      </w:tr>
      <w:tr w:rsidR="00D568EF" w:rsidRPr="002E51FC" w14:paraId="5C4A2B1A" w14:textId="77777777" w:rsidTr="002D7C3B">
        <w:trPr>
          <w:trHeight w:val="20"/>
        </w:trPr>
        <w:tc>
          <w:tcPr>
            <w:tcW w:w="1838" w:type="dxa"/>
          </w:tcPr>
          <w:p w14:paraId="67CA82B3" w14:textId="77777777" w:rsidR="00D568EF" w:rsidRPr="00EC285E" w:rsidRDefault="00D568EF" w:rsidP="002923FE">
            <w:pPr>
              <w:keepNext/>
              <w:keepLines/>
              <w:spacing w:after="0" w:line="276" w:lineRule="auto"/>
              <w:jc w:val="left"/>
              <w:rPr>
                <w:rFonts w:cs="Arial"/>
                <w:lang w:val="en-GB"/>
              </w:rPr>
            </w:pPr>
            <w:r w:rsidRPr="00EC285E">
              <w:rPr>
                <w:rFonts w:cs="Arial"/>
                <w:lang w:val="en-GB"/>
              </w:rPr>
              <w:t>Geographic activity concentration*</w:t>
            </w:r>
          </w:p>
        </w:tc>
        <w:tc>
          <w:tcPr>
            <w:tcW w:w="7284" w:type="dxa"/>
          </w:tcPr>
          <w:p w14:paraId="5F04F57A" w14:textId="77777777" w:rsidR="00D568EF" w:rsidRPr="00EC285E" w:rsidRDefault="00D568EF" w:rsidP="002923FE">
            <w:pPr>
              <w:keepNext/>
              <w:keepLines/>
              <w:spacing w:after="0" w:line="276" w:lineRule="auto"/>
              <w:jc w:val="left"/>
              <w:rPr>
                <w:rFonts w:cs="Arial"/>
                <w:lang w:val="en-GB"/>
              </w:rPr>
            </w:pPr>
            <w:r w:rsidRPr="00EC285E">
              <w:rPr>
                <w:rFonts w:cs="Arial"/>
                <w:lang w:val="en-GB"/>
              </w:rPr>
              <w:t xml:space="preserve">Asia (42%), Africa (19%) and Europe (19%). Share corresponds </w:t>
            </w:r>
            <w:r w:rsidR="00FE0B82">
              <w:rPr>
                <w:rFonts w:cs="Arial"/>
                <w:lang w:val="en-GB"/>
              </w:rPr>
              <w:t xml:space="preserve">to </w:t>
            </w:r>
            <w:r w:rsidRPr="00EC285E">
              <w:rPr>
                <w:rFonts w:cs="Arial"/>
                <w:lang w:val="en-GB"/>
              </w:rPr>
              <w:t>commitments outstanding of world region over total commitments outstanding.</w:t>
            </w:r>
          </w:p>
        </w:tc>
      </w:tr>
      <w:tr w:rsidR="00157C6B" w:rsidRPr="002E51FC" w14:paraId="5D39AF48" w14:textId="77777777" w:rsidTr="002D7C3B">
        <w:trPr>
          <w:trHeight w:val="20"/>
        </w:trPr>
        <w:tc>
          <w:tcPr>
            <w:tcW w:w="1838" w:type="dxa"/>
          </w:tcPr>
          <w:p w14:paraId="24645FDC" w14:textId="77777777" w:rsidR="00157C6B" w:rsidRPr="00EC285E" w:rsidRDefault="00CA2664" w:rsidP="002923FE">
            <w:pPr>
              <w:keepNext/>
              <w:keepLines/>
              <w:spacing w:after="0" w:line="276" w:lineRule="auto"/>
              <w:jc w:val="left"/>
              <w:rPr>
                <w:rFonts w:cs="Arial"/>
                <w:lang w:val="en-GB"/>
              </w:rPr>
            </w:pPr>
            <w:r w:rsidRPr="00EC285E">
              <w:rPr>
                <w:rFonts w:cs="Arial"/>
                <w:lang w:val="en-GB"/>
              </w:rPr>
              <w:t>C</w:t>
            </w:r>
            <w:r w:rsidR="00C56366" w:rsidRPr="00EC285E">
              <w:rPr>
                <w:rFonts w:cs="Arial"/>
                <w:lang w:val="en-GB"/>
              </w:rPr>
              <w:t>ommitments outstanding</w:t>
            </w:r>
            <w:r w:rsidR="00C72B7B" w:rsidRPr="00EC285E">
              <w:rPr>
                <w:rStyle w:val="Funotenzeichen"/>
                <w:lang w:val="en-GB"/>
              </w:rPr>
              <w:footnoteReference w:id="5"/>
            </w:r>
            <w:r w:rsidR="00F62B9A" w:rsidRPr="00EC285E">
              <w:rPr>
                <w:rFonts w:cs="Arial"/>
                <w:vertAlign w:val="superscript"/>
                <w:lang w:val="en-GB"/>
              </w:rPr>
              <w:t>,</w:t>
            </w:r>
            <w:r w:rsidR="00F56193" w:rsidRPr="00EC285E">
              <w:rPr>
                <w:rFonts w:cs="Arial"/>
                <w:lang w:val="en-GB"/>
              </w:rPr>
              <w:t>*</w:t>
            </w:r>
          </w:p>
        </w:tc>
        <w:tc>
          <w:tcPr>
            <w:tcW w:w="7284" w:type="dxa"/>
          </w:tcPr>
          <w:p w14:paraId="39BE457A" w14:textId="77777777" w:rsidR="00157C6B" w:rsidRPr="00EC285E" w:rsidRDefault="007B4AE2" w:rsidP="002923FE">
            <w:pPr>
              <w:keepNext/>
              <w:keepLines/>
              <w:spacing w:after="0" w:line="276" w:lineRule="auto"/>
              <w:jc w:val="left"/>
              <w:rPr>
                <w:rFonts w:cs="Arial"/>
                <w:lang w:val="en-GB"/>
              </w:rPr>
            </w:pPr>
            <w:r>
              <w:rPr>
                <w:rFonts w:cs="Arial"/>
                <w:lang w:val="en-GB"/>
              </w:rPr>
              <w:t xml:space="preserve">EUR </w:t>
            </w:r>
            <w:r w:rsidR="00F56193" w:rsidRPr="00EC285E">
              <w:rPr>
                <w:rFonts w:cs="Arial"/>
                <w:lang w:val="en-GB"/>
              </w:rPr>
              <w:t>18</w:t>
            </w:r>
            <w:r w:rsidR="002053B8">
              <w:rPr>
                <w:rFonts w:cs="Arial"/>
                <w:lang w:val="en-GB"/>
              </w:rPr>
              <w:t>.</w:t>
            </w:r>
            <w:r w:rsidR="007C36E3" w:rsidRPr="00EC285E">
              <w:rPr>
                <w:rFonts w:cs="Arial"/>
                <w:lang w:val="en-GB"/>
              </w:rPr>
              <w:t>5</w:t>
            </w:r>
            <w:r w:rsidR="00F56193" w:rsidRPr="00EC285E">
              <w:rPr>
                <w:rFonts w:cs="Arial"/>
                <w:lang w:val="en-GB"/>
              </w:rPr>
              <w:t xml:space="preserve"> billion  </w:t>
            </w:r>
          </w:p>
          <w:p w14:paraId="537C28E5" w14:textId="77777777" w:rsidR="002A0A19" w:rsidRPr="00EC285E" w:rsidRDefault="002A0A19" w:rsidP="002923FE">
            <w:pPr>
              <w:keepNext/>
              <w:keepLines/>
              <w:spacing w:after="0" w:line="276" w:lineRule="auto"/>
              <w:jc w:val="left"/>
              <w:rPr>
                <w:rFonts w:cs="Arial"/>
                <w:lang w:val="en-GB"/>
              </w:rPr>
            </w:pPr>
          </w:p>
        </w:tc>
      </w:tr>
      <w:tr w:rsidR="00F56193" w:rsidRPr="002E51FC" w14:paraId="4D0D9FC7" w14:textId="77777777" w:rsidTr="002D7C3B">
        <w:trPr>
          <w:trHeight w:val="20"/>
        </w:trPr>
        <w:tc>
          <w:tcPr>
            <w:tcW w:w="1838" w:type="dxa"/>
          </w:tcPr>
          <w:p w14:paraId="0906520C" w14:textId="77777777" w:rsidR="00F56193" w:rsidRPr="00EC285E" w:rsidRDefault="00637669" w:rsidP="002923FE">
            <w:pPr>
              <w:keepNext/>
              <w:keepLines/>
              <w:spacing w:after="0" w:line="276" w:lineRule="auto"/>
              <w:jc w:val="left"/>
              <w:rPr>
                <w:rFonts w:cs="Arial"/>
                <w:lang w:val="en-GB"/>
              </w:rPr>
            </w:pPr>
            <w:r w:rsidRPr="00EC285E">
              <w:rPr>
                <w:rFonts w:cs="Arial"/>
                <w:lang w:val="en-GB"/>
              </w:rPr>
              <w:t>New commitments</w:t>
            </w:r>
            <w:r w:rsidR="004571B5" w:rsidRPr="00EC285E">
              <w:rPr>
                <w:rStyle w:val="Funotenzeichen"/>
                <w:lang w:val="en-GB"/>
              </w:rPr>
              <w:footnoteReference w:id="6"/>
            </w:r>
            <w:r w:rsidR="00F62B9A" w:rsidRPr="00EC285E">
              <w:rPr>
                <w:rFonts w:cs="Arial"/>
                <w:vertAlign w:val="superscript"/>
                <w:lang w:val="en-GB"/>
              </w:rPr>
              <w:t>,</w:t>
            </w:r>
            <w:r w:rsidRPr="00EC285E">
              <w:rPr>
                <w:rFonts w:cs="Arial"/>
                <w:lang w:val="en-GB"/>
              </w:rPr>
              <w:t>**</w:t>
            </w:r>
            <w:r w:rsidR="00F56193" w:rsidRPr="00EC285E">
              <w:rPr>
                <w:rFonts w:cs="Arial"/>
                <w:lang w:val="en-GB"/>
              </w:rPr>
              <w:t xml:space="preserve"> </w:t>
            </w:r>
          </w:p>
        </w:tc>
        <w:tc>
          <w:tcPr>
            <w:tcW w:w="7284" w:type="dxa"/>
          </w:tcPr>
          <w:p w14:paraId="5286579F" w14:textId="77777777" w:rsidR="00F56193" w:rsidRPr="00EC285E" w:rsidRDefault="007B4AE2" w:rsidP="002923FE">
            <w:pPr>
              <w:keepNext/>
              <w:keepLines/>
              <w:spacing w:after="0" w:line="276" w:lineRule="auto"/>
              <w:jc w:val="left"/>
              <w:rPr>
                <w:rFonts w:cs="Arial"/>
                <w:lang w:val="en-GB"/>
              </w:rPr>
            </w:pPr>
            <w:r>
              <w:rPr>
                <w:rFonts w:cs="Arial"/>
                <w:lang w:val="en-GB"/>
              </w:rPr>
              <w:t xml:space="preserve">EUR </w:t>
            </w:r>
            <w:r w:rsidR="00F56193" w:rsidRPr="00EC285E">
              <w:rPr>
                <w:rFonts w:cs="Arial"/>
                <w:lang w:val="en-GB"/>
              </w:rPr>
              <w:t>6</w:t>
            </w:r>
            <w:r w:rsidR="002053B8">
              <w:rPr>
                <w:rFonts w:cs="Arial"/>
                <w:lang w:val="en-GB"/>
              </w:rPr>
              <w:t>.</w:t>
            </w:r>
            <w:r w:rsidR="00F56193" w:rsidRPr="00EC285E">
              <w:rPr>
                <w:rFonts w:cs="Arial"/>
                <w:lang w:val="en-GB"/>
              </w:rPr>
              <w:t xml:space="preserve">6 billion  </w:t>
            </w:r>
          </w:p>
          <w:p w14:paraId="06DC509F" w14:textId="77777777" w:rsidR="00222602" w:rsidRPr="00EC285E" w:rsidRDefault="00222602" w:rsidP="002923FE">
            <w:pPr>
              <w:keepNext/>
              <w:keepLines/>
              <w:spacing w:after="0" w:line="276" w:lineRule="auto"/>
              <w:jc w:val="left"/>
              <w:rPr>
                <w:rFonts w:cs="Arial"/>
                <w:lang w:val="en-GB"/>
              </w:rPr>
            </w:pPr>
          </w:p>
        </w:tc>
      </w:tr>
      <w:tr w:rsidR="00B03827" w:rsidRPr="002E51FC" w14:paraId="70DB8EE7" w14:textId="77777777" w:rsidTr="002D7C3B">
        <w:trPr>
          <w:trHeight w:val="20"/>
        </w:trPr>
        <w:tc>
          <w:tcPr>
            <w:tcW w:w="1838" w:type="dxa"/>
          </w:tcPr>
          <w:p w14:paraId="1EB78217" w14:textId="77777777" w:rsidR="00B03827" w:rsidRPr="00EC285E" w:rsidRDefault="00B03827" w:rsidP="002923FE">
            <w:pPr>
              <w:keepNext/>
              <w:keepLines/>
              <w:spacing w:after="0" w:line="276" w:lineRule="auto"/>
              <w:jc w:val="left"/>
              <w:rPr>
                <w:rFonts w:cs="Arial"/>
                <w:lang w:val="en-GB"/>
              </w:rPr>
            </w:pPr>
            <w:r w:rsidRPr="00EC285E">
              <w:rPr>
                <w:rFonts w:cs="Arial"/>
                <w:lang w:val="en-GB"/>
              </w:rPr>
              <w:t>Main instruments of financial support</w:t>
            </w:r>
          </w:p>
        </w:tc>
        <w:tc>
          <w:tcPr>
            <w:tcW w:w="7284" w:type="dxa"/>
          </w:tcPr>
          <w:p w14:paraId="01067C4F" w14:textId="77777777" w:rsidR="00B03827" w:rsidRPr="00EC285E" w:rsidRDefault="009A2676" w:rsidP="002923FE">
            <w:pPr>
              <w:keepNext/>
              <w:keepLines/>
              <w:spacing w:after="0" w:line="276" w:lineRule="auto"/>
              <w:jc w:val="left"/>
              <w:rPr>
                <w:rFonts w:cs="Arial"/>
                <w:lang w:val="en-GB"/>
              </w:rPr>
            </w:pPr>
            <w:r w:rsidRPr="00EC285E">
              <w:rPr>
                <w:rFonts w:cs="Arial"/>
                <w:lang w:val="en-GB"/>
              </w:rPr>
              <w:t xml:space="preserve">Export insurance policies which cover credit risk, i.e., risk of non-repayment by the importing entity, or manufacturing risk, i.e., risk of non-delivery of goods or services due to reasons beyond the exporters´ control. </w:t>
            </w:r>
            <w:r w:rsidR="00AE3E86" w:rsidRPr="00EC285E">
              <w:rPr>
                <w:rFonts w:cs="Arial"/>
                <w:lang w:val="en-GB"/>
              </w:rPr>
              <w:t xml:space="preserve">Other instruments include investment insurances, export credit guarantees and several other products </w:t>
            </w:r>
            <w:r w:rsidR="00A03D77" w:rsidRPr="00EC285E">
              <w:rPr>
                <w:rFonts w:cs="Arial"/>
                <w:lang w:val="en-GB"/>
              </w:rPr>
              <w:t>(</w:t>
            </w:r>
            <w:r w:rsidR="00780E44" w:rsidRPr="00EC285E">
              <w:rPr>
                <w:rFonts w:cs="Arial"/>
                <w:lang w:val="en-GB"/>
              </w:rPr>
              <w:t xml:space="preserve">see </w:t>
            </w:r>
            <w:r w:rsidR="00A03D77" w:rsidRPr="00EC285E">
              <w:rPr>
                <w:rFonts w:cs="Arial"/>
                <w:lang w:val="en-GB"/>
              </w:rPr>
              <w:t>Atradius DSB 2021</w:t>
            </w:r>
            <w:r w:rsidR="00732545" w:rsidRPr="00EC285E">
              <w:rPr>
                <w:rFonts w:cs="Arial"/>
                <w:lang w:val="en-GB"/>
              </w:rPr>
              <w:t>b</w:t>
            </w:r>
            <w:r w:rsidR="00A03D77" w:rsidRPr="00EC285E">
              <w:rPr>
                <w:rFonts w:cs="Arial"/>
                <w:lang w:val="en-GB"/>
              </w:rPr>
              <w:t>)</w:t>
            </w:r>
            <w:r w:rsidR="00F66A0A" w:rsidRPr="00EC285E">
              <w:rPr>
                <w:rFonts w:cs="Arial"/>
                <w:lang w:val="en-GB"/>
              </w:rPr>
              <w:t>.</w:t>
            </w:r>
          </w:p>
        </w:tc>
      </w:tr>
      <w:tr w:rsidR="003E13FC" w:rsidRPr="002E51FC" w14:paraId="72D686B2" w14:textId="77777777" w:rsidTr="002D7C3B">
        <w:trPr>
          <w:trHeight w:val="20"/>
        </w:trPr>
        <w:tc>
          <w:tcPr>
            <w:tcW w:w="1838" w:type="dxa"/>
          </w:tcPr>
          <w:p w14:paraId="32063A91" w14:textId="77777777" w:rsidR="003E13FC" w:rsidRPr="00EC285E" w:rsidRDefault="003E13FC" w:rsidP="002923FE">
            <w:pPr>
              <w:keepNext/>
              <w:keepLines/>
              <w:spacing w:after="0" w:line="276" w:lineRule="auto"/>
              <w:jc w:val="left"/>
              <w:rPr>
                <w:rFonts w:cs="Arial"/>
                <w:lang w:val="en-GB"/>
              </w:rPr>
            </w:pPr>
            <w:r w:rsidRPr="00EC285E">
              <w:rPr>
                <w:rFonts w:cs="Arial"/>
                <w:lang w:val="en-GB"/>
              </w:rPr>
              <w:t>Category A and B projects</w:t>
            </w:r>
            <w:r w:rsidR="00AF1174" w:rsidRPr="00EC285E">
              <w:rPr>
                <w:rStyle w:val="Funotenzeichen"/>
                <w:lang w:val="en-GB"/>
              </w:rPr>
              <w:footnoteReference w:id="7"/>
            </w:r>
            <w:r w:rsidR="00E141AA" w:rsidRPr="00EC285E">
              <w:rPr>
                <w:rFonts w:cs="Arial"/>
                <w:vertAlign w:val="superscript"/>
                <w:lang w:val="en-GB"/>
              </w:rPr>
              <w:t>,</w:t>
            </w:r>
            <w:r w:rsidR="00397CC1" w:rsidRPr="00EC285E">
              <w:rPr>
                <w:rFonts w:cs="Arial"/>
                <w:lang w:val="en-GB"/>
              </w:rPr>
              <w:t>**</w:t>
            </w:r>
            <w:r w:rsidR="00CC6852" w:rsidRPr="00EC285E">
              <w:rPr>
                <w:rFonts w:cs="Arial"/>
                <w:lang w:val="en-GB"/>
              </w:rPr>
              <w:t xml:space="preserve"> (Number | volume)</w:t>
            </w:r>
          </w:p>
        </w:tc>
        <w:tc>
          <w:tcPr>
            <w:tcW w:w="7284" w:type="dxa"/>
          </w:tcPr>
          <w:p w14:paraId="34019B6D" w14:textId="153295F4" w:rsidR="00436125" w:rsidRPr="00436125" w:rsidRDefault="00436125" w:rsidP="002923FE">
            <w:pPr>
              <w:keepNext/>
              <w:keepLines/>
              <w:spacing w:after="0" w:line="276" w:lineRule="auto"/>
              <w:jc w:val="left"/>
              <w:rPr>
                <w:rFonts w:cs="Arial"/>
                <w:lang w:val="en-GB"/>
              </w:rPr>
            </w:pPr>
            <w:r w:rsidRPr="00436125">
              <w:rPr>
                <w:rFonts w:cs="Arial"/>
                <w:lang w:val="en-GB"/>
              </w:rPr>
              <w:t xml:space="preserve">4 Cat. A and 8 Cat. B projects | Cat. A </w:t>
            </w:r>
            <w:r w:rsidR="007B4AE2">
              <w:rPr>
                <w:rFonts w:cs="Arial"/>
                <w:lang w:val="en-GB"/>
              </w:rPr>
              <w:t xml:space="preserve">EUR </w:t>
            </w:r>
            <w:r w:rsidRPr="00436125">
              <w:rPr>
                <w:rFonts w:cs="Arial"/>
                <w:lang w:val="en-GB"/>
              </w:rPr>
              <w:t xml:space="preserve">523 </w:t>
            </w:r>
            <w:r w:rsidR="008B7778" w:rsidRPr="00436125">
              <w:rPr>
                <w:rFonts w:cs="Arial"/>
                <w:lang w:val="en-GB"/>
              </w:rPr>
              <w:t>million and</w:t>
            </w:r>
            <w:r w:rsidRPr="00436125">
              <w:rPr>
                <w:rFonts w:cs="Arial"/>
                <w:lang w:val="en-GB"/>
              </w:rPr>
              <w:t xml:space="preserve"> Cat. B </w:t>
            </w:r>
            <w:r w:rsidR="007B4AE2">
              <w:rPr>
                <w:rFonts w:cs="Arial"/>
                <w:lang w:val="en-GB"/>
              </w:rPr>
              <w:t xml:space="preserve">EUR </w:t>
            </w:r>
            <w:r w:rsidRPr="00436125">
              <w:rPr>
                <w:rFonts w:cs="Arial"/>
                <w:lang w:val="en-GB"/>
              </w:rPr>
              <w:t xml:space="preserve">431 </w:t>
            </w:r>
            <w:r w:rsidR="008B7778" w:rsidRPr="00436125">
              <w:rPr>
                <w:rFonts w:cs="Arial"/>
                <w:lang w:val="en-GB"/>
              </w:rPr>
              <w:t>million p.a.</w:t>
            </w:r>
            <w:r w:rsidRPr="00436125">
              <w:rPr>
                <w:rFonts w:cs="Arial"/>
                <w:lang w:val="en-GB"/>
              </w:rPr>
              <w:t xml:space="preserve"> of maximum liability</w:t>
            </w:r>
          </w:p>
          <w:p w14:paraId="3CB47AC4" w14:textId="77777777" w:rsidR="00397CC1" w:rsidRPr="00EC285E" w:rsidRDefault="00436125" w:rsidP="002923FE">
            <w:pPr>
              <w:keepNext/>
              <w:keepLines/>
              <w:spacing w:after="0" w:line="276" w:lineRule="auto"/>
              <w:jc w:val="left"/>
              <w:rPr>
                <w:rFonts w:cs="Arial"/>
                <w:lang w:val="en-GB"/>
              </w:rPr>
            </w:pPr>
            <w:r w:rsidRPr="00436125">
              <w:rPr>
                <w:rFonts w:cs="Arial"/>
                <w:lang w:val="en-GB"/>
              </w:rPr>
              <w:t>Note that outliers exist: In 2016 for instance, Atradius DSB issued policies for 16 Cat. A projects.</w:t>
            </w:r>
          </w:p>
        </w:tc>
      </w:tr>
    </w:tbl>
    <w:p w14:paraId="2AFA3E2C" w14:textId="77777777" w:rsidR="00157C6B" w:rsidRPr="00070A29" w:rsidRDefault="00157C6B" w:rsidP="003004AA">
      <w:pPr>
        <w:spacing w:after="120"/>
        <w:rPr>
          <w:rFonts w:cs="Arial"/>
          <w:sz w:val="18"/>
          <w:szCs w:val="18"/>
          <w:u w:val="single"/>
          <w:lang w:val="en-GB"/>
        </w:rPr>
      </w:pPr>
      <w:r w:rsidRPr="00070A29">
        <w:rPr>
          <w:rFonts w:cs="Arial"/>
          <w:i/>
          <w:sz w:val="18"/>
          <w:szCs w:val="18"/>
          <w:u w:val="single"/>
          <w:lang w:val="en-GB"/>
        </w:rPr>
        <w:t>Note:</w:t>
      </w:r>
      <w:r w:rsidRPr="00070A29">
        <w:rPr>
          <w:rFonts w:cs="Arial"/>
          <w:i/>
          <w:sz w:val="18"/>
          <w:szCs w:val="18"/>
          <w:lang w:val="en-GB"/>
        </w:rPr>
        <w:t xml:space="preserve"> </w:t>
      </w:r>
      <w:r w:rsidRPr="00070A29">
        <w:rPr>
          <w:rFonts w:cs="Arial"/>
          <w:sz w:val="18"/>
          <w:szCs w:val="18"/>
          <w:lang w:val="en-GB"/>
        </w:rPr>
        <w:t>(*) = Data from 2020</w:t>
      </w:r>
      <w:r w:rsidR="00995206" w:rsidRPr="00070A29">
        <w:rPr>
          <w:rFonts w:cs="Arial"/>
          <w:sz w:val="18"/>
          <w:szCs w:val="18"/>
          <w:lang w:val="en-GB"/>
        </w:rPr>
        <w:t>.</w:t>
      </w:r>
      <w:r w:rsidR="005F3BAD" w:rsidRPr="00070A29">
        <w:rPr>
          <w:rFonts w:cs="Arial"/>
          <w:sz w:val="18"/>
          <w:szCs w:val="18"/>
          <w:lang w:val="en-GB"/>
        </w:rPr>
        <w:t xml:space="preserve"> </w:t>
      </w:r>
      <w:r w:rsidRPr="00070A29">
        <w:rPr>
          <w:rFonts w:cs="Arial"/>
          <w:sz w:val="18"/>
          <w:szCs w:val="18"/>
          <w:lang w:val="en-GB"/>
        </w:rPr>
        <w:t xml:space="preserve">(**) = Average annual mean for the last three years </w:t>
      </w:r>
      <w:r w:rsidR="00750D22" w:rsidRPr="00070A29">
        <w:rPr>
          <w:rFonts w:cs="Arial"/>
          <w:sz w:val="18"/>
          <w:szCs w:val="18"/>
          <w:lang w:val="en-GB"/>
        </w:rPr>
        <w:t>to correct for</w:t>
      </w:r>
      <w:r w:rsidR="005C1171" w:rsidRPr="00070A29">
        <w:rPr>
          <w:rFonts w:cs="Arial"/>
          <w:sz w:val="18"/>
          <w:szCs w:val="18"/>
          <w:lang w:val="en-GB"/>
        </w:rPr>
        <w:t xml:space="preserve"> yearly</w:t>
      </w:r>
      <w:r w:rsidR="00750D22" w:rsidRPr="00070A29">
        <w:rPr>
          <w:rFonts w:cs="Arial"/>
          <w:sz w:val="18"/>
          <w:szCs w:val="18"/>
          <w:lang w:val="en-GB"/>
        </w:rPr>
        <w:t xml:space="preserve"> fluctuations</w:t>
      </w:r>
      <w:r w:rsidRPr="00070A29">
        <w:rPr>
          <w:rFonts w:cs="Arial"/>
          <w:sz w:val="18"/>
          <w:szCs w:val="18"/>
          <w:lang w:val="en-GB"/>
        </w:rPr>
        <w:t>.</w:t>
      </w:r>
      <w:r w:rsidR="007F0B43" w:rsidRPr="00070A29">
        <w:rPr>
          <w:rFonts w:cs="Arial"/>
          <w:sz w:val="18"/>
          <w:szCs w:val="18"/>
          <w:lang w:val="en-GB"/>
        </w:rPr>
        <w:t xml:space="preserve"> </w:t>
      </w:r>
      <w:r w:rsidR="00EC2959" w:rsidRPr="00070A29">
        <w:rPr>
          <w:rFonts w:cs="Arial"/>
          <w:sz w:val="18"/>
          <w:szCs w:val="18"/>
          <w:lang w:val="en-GB"/>
        </w:rPr>
        <w:t xml:space="preserve">Table excludes core data on DGGF and DTIF financing facilities which are below a materiality threshold of 1% </w:t>
      </w:r>
      <w:r w:rsidR="00082EEB" w:rsidRPr="00070A29">
        <w:rPr>
          <w:rFonts w:cs="Arial"/>
          <w:sz w:val="18"/>
          <w:szCs w:val="18"/>
          <w:lang w:val="en-GB"/>
        </w:rPr>
        <w:t xml:space="preserve">when compared to new commitments under the </w:t>
      </w:r>
      <w:proofErr w:type="spellStart"/>
      <w:r w:rsidR="00082EEB" w:rsidRPr="00070A29">
        <w:rPr>
          <w:rFonts w:cs="Arial"/>
          <w:i/>
          <w:sz w:val="18"/>
          <w:szCs w:val="18"/>
          <w:lang w:val="en-GB"/>
        </w:rPr>
        <w:t>ekv</w:t>
      </w:r>
      <w:proofErr w:type="spellEnd"/>
      <w:r w:rsidR="00082EEB" w:rsidRPr="00070A29">
        <w:rPr>
          <w:rFonts w:cs="Arial"/>
          <w:sz w:val="18"/>
          <w:szCs w:val="18"/>
          <w:lang w:val="en-GB"/>
        </w:rPr>
        <w:t>.</w:t>
      </w:r>
      <w:r w:rsidR="006C42F6" w:rsidRPr="00070A29">
        <w:rPr>
          <w:rFonts w:cs="Arial"/>
          <w:sz w:val="18"/>
          <w:szCs w:val="18"/>
          <w:lang w:val="en-GB"/>
        </w:rPr>
        <w:t xml:space="preserve"> </w:t>
      </w:r>
      <w:r w:rsidR="00F10E44" w:rsidRPr="00070A29">
        <w:rPr>
          <w:rFonts w:cs="Arial"/>
          <w:sz w:val="18"/>
          <w:szCs w:val="18"/>
          <w:lang w:val="en-GB"/>
        </w:rPr>
        <w:t xml:space="preserve">Source: </w:t>
      </w:r>
      <w:r w:rsidR="006C42F6" w:rsidRPr="00070A29">
        <w:rPr>
          <w:rFonts w:cs="Arial"/>
          <w:sz w:val="18"/>
          <w:szCs w:val="18"/>
          <w:lang w:val="en-GB"/>
        </w:rPr>
        <w:t>authors based on Atradius DSB (202</w:t>
      </w:r>
      <w:r w:rsidR="005906A2" w:rsidRPr="00070A29">
        <w:rPr>
          <w:rFonts w:cs="Arial"/>
          <w:sz w:val="18"/>
          <w:szCs w:val="18"/>
          <w:lang w:val="en-GB"/>
        </w:rPr>
        <w:t>1a</w:t>
      </w:r>
      <w:r w:rsidR="005A2B87" w:rsidRPr="00070A29">
        <w:rPr>
          <w:rFonts w:cs="Arial"/>
          <w:sz w:val="18"/>
          <w:szCs w:val="18"/>
          <w:lang w:val="en-GB"/>
        </w:rPr>
        <w:t>, d</w:t>
      </w:r>
      <w:r w:rsidR="006C42F6" w:rsidRPr="00070A29">
        <w:rPr>
          <w:rFonts w:cs="Arial"/>
          <w:sz w:val="18"/>
          <w:szCs w:val="18"/>
          <w:lang w:val="en-GB"/>
        </w:rPr>
        <w:t>)</w:t>
      </w:r>
      <w:r w:rsidR="00430909" w:rsidRPr="00070A29">
        <w:rPr>
          <w:rFonts w:cs="Arial"/>
          <w:sz w:val="18"/>
          <w:szCs w:val="18"/>
          <w:lang w:val="en-GB"/>
        </w:rPr>
        <w:t xml:space="preserve">. </w:t>
      </w:r>
    </w:p>
    <w:p w14:paraId="5D2FD9DA" w14:textId="77777777" w:rsidR="00E03F67" w:rsidRPr="00FC1E5A" w:rsidRDefault="00E03F67" w:rsidP="00E03F67">
      <w:pPr>
        <w:pStyle w:val="berschrift1"/>
        <w:rPr>
          <w:rFonts w:ascii="Arial" w:hAnsi="Arial"/>
        </w:rPr>
      </w:pPr>
      <w:bookmarkStart w:id="9" w:name="_Toc84520026"/>
      <w:r w:rsidRPr="00FC1E5A">
        <w:rPr>
          <w:rFonts w:ascii="Arial" w:hAnsi="Arial"/>
        </w:rPr>
        <w:t xml:space="preserve">Climate-related policies in </w:t>
      </w:r>
      <w:r w:rsidR="00DD153B">
        <w:rPr>
          <w:rFonts w:ascii="Arial" w:hAnsi="Arial"/>
        </w:rPr>
        <w:t xml:space="preserve">officially supported </w:t>
      </w:r>
      <w:r w:rsidR="00757405">
        <w:rPr>
          <w:rFonts w:ascii="Arial" w:hAnsi="Arial"/>
        </w:rPr>
        <w:t>Dutch</w:t>
      </w:r>
      <w:r w:rsidR="00E03F45" w:rsidRPr="00FC1E5A">
        <w:rPr>
          <w:rFonts w:ascii="Arial" w:hAnsi="Arial"/>
        </w:rPr>
        <w:t xml:space="preserve"> </w:t>
      </w:r>
      <w:r w:rsidRPr="00FC1E5A">
        <w:rPr>
          <w:rFonts w:ascii="Arial" w:hAnsi="Arial"/>
        </w:rPr>
        <w:t>export finance</w:t>
      </w:r>
      <w:bookmarkEnd w:id="9"/>
    </w:p>
    <w:p w14:paraId="451EDBF4" w14:textId="2F9E2E81" w:rsidR="00D17327" w:rsidRDefault="0095582D" w:rsidP="00E03F67">
      <w:pPr>
        <w:rPr>
          <w:rFonts w:cs="Arial"/>
          <w:lang w:val="en-GB"/>
        </w:rPr>
      </w:pPr>
      <w:r w:rsidRPr="008B7778">
        <w:rPr>
          <w:rFonts w:cs="Arial"/>
          <w:lang w:val="en-GB"/>
        </w:rPr>
        <w:t>In</w:t>
      </w:r>
      <w:r w:rsidR="001067E4" w:rsidRPr="008B7778">
        <w:rPr>
          <w:rFonts w:cs="Arial"/>
          <w:lang w:val="en-GB"/>
        </w:rPr>
        <w:t xml:space="preserve"> November</w:t>
      </w:r>
      <w:r w:rsidRPr="008B7778">
        <w:rPr>
          <w:rFonts w:cs="Arial"/>
          <w:lang w:val="en-GB"/>
        </w:rPr>
        <w:t xml:space="preserve"> 2020, t</w:t>
      </w:r>
      <w:r w:rsidR="00F6555B" w:rsidRPr="008B7778">
        <w:rPr>
          <w:rFonts w:cs="Arial"/>
          <w:lang w:val="en-GB"/>
        </w:rPr>
        <w:t>he</w:t>
      </w:r>
      <w:r w:rsidR="00AF52C2" w:rsidRPr="008B7778">
        <w:rPr>
          <w:rFonts w:cs="Arial"/>
          <w:lang w:val="en-GB"/>
        </w:rPr>
        <w:t xml:space="preserve"> Dutch State Secretary of Finance, J</w:t>
      </w:r>
      <w:r w:rsidR="001C1CAC" w:rsidRPr="008B7778">
        <w:rPr>
          <w:rFonts w:cs="Arial"/>
          <w:lang w:val="en-GB"/>
        </w:rPr>
        <w:t>.</w:t>
      </w:r>
      <w:r w:rsidR="00AF52C2" w:rsidRPr="008B7778">
        <w:rPr>
          <w:rFonts w:cs="Arial"/>
          <w:lang w:val="en-GB"/>
        </w:rPr>
        <w:t xml:space="preserve"> A</w:t>
      </w:r>
      <w:r w:rsidR="001C1CAC" w:rsidRPr="008B7778">
        <w:rPr>
          <w:rFonts w:cs="Arial"/>
          <w:lang w:val="en-GB"/>
        </w:rPr>
        <w:t>.</w:t>
      </w:r>
      <w:r w:rsidR="00AF52C2" w:rsidRPr="008B7778">
        <w:rPr>
          <w:rFonts w:cs="Arial"/>
          <w:lang w:val="en-GB"/>
        </w:rPr>
        <w:t xml:space="preserve"> </w:t>
      </w:r>
      <w:proofErr w:type="spellStart"/>
      <w:r w:rsidR="00AF52C2" w:rsidRPr="008B7778">
        <w:rPr>
          <w:rFonts w:cs="Arial"/>
          <w:lang w:val="en-GB"/>
        </w:rPr>
        <w:t>Vijlbrief</w:t>
      </w:r>
      <w:proofErr w:type="spellEnd"/>
      <w:r w:rsidR="00AF52C2" w:rsidRPr="008B7778">
        <w:rPr>
          <w:rFonts w:cs="Arial"/>
          <w:lang w:val="en-GB"/>
        </w:rPr>
        <w:t xml:space="preserve">, </w:t>
      </w:r>
      <w:r w:rsidR="00D832F1" w:rsidRPr="008B7778">
        <w:rPr>
          <w:rFonts w:cs="Arial"/>
          <w:lang w:val="en-GB"/>
        </w:rPr>
        <w:t xml:space="preserve">pledged to the Dutch House of Representatives </w:t>
      </w:r>
      <w:r w:rsidR="00F6555B" w:rsidRPr="008B7778">
        <w:rPr>
          <w:rFonts w:cs="Arial"/>
          <w:lang w:val="en-GB"/>
        </w:rPr>
        <w:t>to</w:t>
      </w:r>
      <w:r w:rsidR="004709F2" w:rsidRPr="008B7778">
        <w:rPr>
          <w:rFonts w:cs="Arial"/>
          <w:lang w:val="en-GB"/>
        </w:rPr>
        <w:t xml:space="preserve"> explore </w:t>
      </w:r>
      <w:r w:rsidR="00832923" w:rsidRPr="008B7778">
        <w:rPr>
          <w:rFonts w:cs="Arial"/>
          <w:lang w:val="en-GB"/>
        </w:rPr>
        <w:t xml:space="preserve">scenarios of aligning </w:t>
      </w:r>
      <w:r w:rsidR="004709F2" w:rsidRPr="008B7778">
        <w:rPr>
          <w:rFonts w:cs="Arial"/>
          <w:lang w:val="en-GB"/>
        </w:rPr>
        <w:t xml:space="preserve">officially supported </w:t>
      </w:r>
      <w:r w:rsidR="00FC3942" w:rsidRPr="008B7778">
        <w:rPr>
          <w:rFonts w:cs="Arial"/>
          <w:lang w:val="en-GB"/>
        </w:rPr>
        <w:t xml:space="preserve">Dutch </w:t>
      </w:r>
      <w:r w:rsidR="00F6555B" w:rsidRPr="008B7778">
        <w:rPr>
          <w:rFonts w:cs="Arial"/>
          <w:lang w:val="en-GB"/>
        </w:rPr>
        <w:t xml:space="preserve">export </w:t>
      </w:r>
      <w:r w:rsidR="00FC3942" w:rsidRPr="008B7778">
        <w:rPr>
          <w:rFonts w:cs="Arial"/>
          <w:lang w:val="en-GB"/>
        </w:rPr>
        <w:t xml:space="preserve">finance </w:t>
      </w:r>
      <w:r w:rsidR="00F6555B" w:rsidRPr="008B7778">
        <w:rPr>
          <w:rFonts w:cs="Arial"/>
          <w:lang w:val="en-GB"/>
        </w:rPr>
        <w:t>with the Paris Agreement</w:t>
      </w:r>
      <w:r w:rsidR="00A143B1" w:rsidRPr="008B7778">
        <w:rPr>
          <w:rFonts w:cs="Arial"/>
          <w:lang w:val="en-GB"/>
        </w:rPr>
        <w:t xml:space="preserve"> (Ministry of Finance 2021</w:t>
      </w:r>
      <w:r w:rsidR="006A2278" w:rsidRPr="008B7778">
        <w:rPr>
          <w:rFonts w:cs="Arial"/>
          <w:lang w:val="en-GB"/>
        </w:rPr>
        <w:t>a</w:t>
      </w:r>
      <w:r w:rsidR="00A143B1" w:rsidRPr="008B7778">
        <w:rPr>
          <w:rFonts w:cs="Arial"/>
          <w:lang w:val="en-GB"/>
        </w:rPr>
        <w:t>)</w:t>
      </w:r>
      <w:r w:rsidR="00743B51" w:rsidRPr="008B7778">
        <w:rPr>
          <w:rFonts w:cs="Arial"/>
          <w:lang w:val="en-GB"/>
        </w:rPr>
        <w:t>.</w:t>
      </w:r>
      <w:r w:rsidR="00DF4587" w:rsidRPr="008B7778">
        <w:rPr>
          <w:rFonts w:cs="Arial"/>
          <w:lang w:val="en-GB"/>
        </w:rPr>
        <w:t xml:space="preserve"> </w:t>
      </w:r>
      <w:r w:rsidR="008E653F" w:rsidRPr="008B7778">
        <w:rPr>
          <w:rFonts w:cs="Arial"/>
          <w:lang w:val="en-GB"/>
        </w:rPr>
        <w:t>To support this pledge</w:t>
      </w:r>
      <w:r w:rsidR="00DF4587" w:rsidRPr="008B7778">
        <w:rPr>
          <w:rFonts w:cs="Arial"/>
          <w:lang w:val="en-GB"/>
        </w:rPr>
        <w:t xml:space="preserve">, </w:t>
      </w:r>
      <w:r w:rsidR="00DE1C59" w:rsidRPr="008B7778">
        <w:rPr>
          <w:rFonts w:cs="Arial"/>
          <w:lang w:val="en-GB"/>
        </w:rPr>
        <w:t xml:space="preserve">the </w:t>
      </w:r>
      <w:r w:rsidR="00686F59" w:rsidRPr="008B7778">
        <w:rPr>
          <w:rFonts w:cs="Arial"/>
          <w:lang w:val="en-GB"/>
        </w:rPr>
        <w:t>Ministry of Finance</w:t>
      </w:r>
      <w:r w:rsidR="00DE1C59" w:rsidRPr="008B7778">
        <w:rPr>
          <w:rFonts w:cs="Arial"/>
          <w:lang w:val="en-GB"/>
        </w:rPr>
        <w:t xml:space="preserve"> </w:t>
      </w:r>
      <w:r w:rsidR="0015010F" w:rsidRPr="008B7778">
        <w:rPr>
          <w:rFonts w:cs="Arial"/>
          <w:lang w:val="en-GB"/>
        </w:rPr>
        <w:t xml:space="preserve">further </w:t>
      </w:r>
      <w:r w:rsidR="008E653F" w:rsidRPr="008B7778">
        <w:rPr>
          <w:rFonts w:cs="Arial"/>
          <w:lang w:val="en-GB"/>
        </w:rPr>
        <w:t>outline</w:t>
      </w:r>
      <w:r w:rsidR="007C1234" w:rsidRPr="008B7778">
        <w:rPr>
          <w:rFonts w:cs="Arial"/>
          <w:lang w:val="en-GB"/>
        </w:rPr>
        <w:t>d</w:t>
      </w:r>
      <w:r w:rsidR="008E653F" w:rsidRPr="008B7778">
        <w:rPr>
          <w:rFonts w:cs="Arial"/>
          <w:lang w:val="en-GB"/>
        </w:rPr>
        <w:t xml:space="preserve"> </w:t>
      </w:r>
      <w:r w:rsidR="00AC7ECC" w:rsidRPr="008B7778">
        <w:rPr>
          <w:rFonts w:cs="Arial"/>
          <w:lang w:val="en-GB"/>
        </w:rPr>
        <w:t xml:space="preserve">possibilities </w:t>
      </w:r>
      <w:r w:rsidR="006314A7" w:rsidRPr="008B7778">
        <w:rPr>
          <w:rFonts w:cs="Arial"/>
          <w:lang w:val="en-GB"/>
        </w:rPr>
        <w:t xml:space="preserve">for </w:t>
      </w:r>
      <w:r w:rsidR="004C3CF6" w:rsidRPr="008B7778">
        <w:rPr>
          <w:rFonts w:cs="Arial"/>
          <w:lang w:val="en-GB"/>
        </w:rPr>
        <w:t xml:space="preserve">the prospective Dutch government </w:t>
      </w:r>
      <w:r w:rsidR="008E28A5" w:rsidRPr="008B7778">
        <w:rPr>
          <w:rFonts w:cs="Arial"/>
          <w:lang w:val="en-GB"/>
        </w:rPr>
        <w:t xml:space="preserve">to both green </w:t>
      </w:r>
      <w:r w:rsidR="00FE0B82" w:rsidRPr="008B7778">
        <w:rPr>
          <w:rFonts w:cs="Arial"/>
          <w:lang w:val="en-GB"/>
        </w:rPr>
        <w:t xml:space="preserve">the </w:t>
      </w:r>
      <w:r w:rsidR="003E5C37" w:rsidRPr="008B7778">
        <w:rPr>
          <w:rFonts w:cs="Arial"/>
          <w:lang w:val="en-GB"/>
        </w:rPr>
        <w:t xml:space="preserve">Dutch </w:t>
      </w:r>
      <w:r w:rsidR="009C0E5C" w:rsidRPr="008B7778">
        <w:rPr>
          <w:rFonts w:cs="Arial"/>
          <w:lang w:val="en-GB"/>
        </w:rPr>
        <w:t xml:space="preserve">export credit insurance facility </w:t>
      </w:r>
      <w:proofErr w:type="spellStart"/>
      <w:r w:rsidR="00B1352F" w:rsidRPr="008B7778">
        <w:rPr>
          <w:rFonts w:cs="Arial"/>
          <w:i/>
          <w:lang w:val="en-GB"/>
        </w:rPr>
        <w:t>ekv</w:t>
      </w:r>
      <w:proofErr w:type="spellEnd"/>
      <w:r w:rsidR="00917029" w:rsidRPr="008B7778">
        <w:rPr>
          <w:rFonts w:cs="Arial"/>
          <w:lang w:val="en-GB"/>
        </w:rPr>
        <w:t xml:space="preserve"> </w:t>
      </w:r>
      <w:r w:rsidR="003E6F36" w:rsidRPr="008B7778">
        <w:rPr>
          <w:rFonts w:cs="Arial"/>
          <w:lang w:val="en-GB"/>
        </w:rPr>
        <w:t>and phase out support for fossil fuels</w:t>
      </w:r>
      <w:r w:rsidR="002B146A" w:rsidRPr="008B7778">
        <w:rPr>
          <w:rFonts w:cs="Arial"/>
          <w:lang w:val="en-GB"/>
        </w:rPr>
        <w:t xml:space="preserve"> in a brief </w:t>
      </w:r>
      <w:r w:rsidR="005E76D5" w:rsidRPr="008B7778">
        <w:rPr>
          <w:rFonts w:cs="Arial"/>
          <w:lang w:val="en-GB"/>
        </w:rPr>
        <w:t xml:space="preserve">communication </w:t>
      </w:r>
      <w:r w:rsidR="006A39B9" w:rsidRPr="008B7778">
        <w:rPr>
          <w:rFonts w:cs="Arial"/>
          <w:lang w:val="en-GB"/>
        </w:rPr>
        <w:t>(Ministry of Finance 2021b).</w:t>
      </w:r>
      <w:r w:rsidR="002566EC" w:rsidRPr="008B7778">
        <w:rPr>
          <w:rStyle w:val="Funotenzeichen"/>
          <w:lang w:val="en-GB"/>
        </w:rPr>
        <w:footnoteReference w:id="8"/>
      </w:r>
      <w:r w:rsidR="00E0204D" w:rsidRPr="008B7778">
        <w:rPr>
          <w:rFonts w:cs="Arial"/>
          <w:lang w:val="en-GB"/>
        </w:rPr>
        <w:t xml:space="preserve"> </w:t>
      </w:r>
      <w:r w:rsidR="00A1249A" w:rsidRPr="008B7778">
        <w:rPr>
          <w:rFonts w:cs="Arial"/>
          <w:lang w:val="en-GB"/>
        </w:rPr>
        <w:t>These announcements align with ambition of</w:t>
      </w:r>
      <w:r w:rsidR="000A542C" w:rsidRPr="008B7778">
        <w:rPr>
          <w:rFonts w:cs="Arial"/>
          <w:lang w:val="en-GB"/>
        </w:rPr>
        <w:t xml:space="preserve"> </w:t>
      </w:r>
      <w:r w:rsidR="00056132" w:rsidRPr="008B7778">
        <w:rPr>
          <w:rFonts w:cs="Arial"/>
          <w:lang w:val="en-GB"/>
        </w:rPr>
        <w:t xml:space="preserve">the </w:t>
      </w:r>
      <w:r w:rsidR="00F53F5F" w:rsidRPr="008B7778">
        <w:rPr>
          <w:rFonts w:cs="Arial"/>
          <w:lang w:val="en-GB"/>
        </w:rPr>
        <w:t>Export Finance for Future (</w:t>
      </w:r>
      <w:r w:rsidR="00056132" w:rsidRPr="008B7778">
        <w:rPr>
          <w:rFonts w:cs="Arial"/>
          <w:lang w:val="en-GB"/>
        </w:rPr>
        <w:t>E3F</w:t>
      </w:r>
      <w:r w:rsidR="00F53F5F" w:rsidRPr="008B7778">
        <w:rPr>
          <w:rFonts w:cs="Arial"/>
          <w:lang w:val="en-GB"/>
        </w:rPr>
        <w:t>)</w:t>
      </w:r>
      <w:r w:rsidR="00056132" w:rsidRPr="008B7778">
        <w:rPr>
          <w:rFonts w:cs="Arial"/>
          <w:lang w:val="en-GB"/>
        </w:rPr>
        <w:t xml:space="preserve"> initiative, a coalition of seven </w:t>
      </w:r>
      <w:r w:rsidR="00876054" w:rsidRPr="008B7778">
        <w:rPr>
          <w:rFonts w:cs="Arial"/>
          <w:lang w:val="en-GB"/>
        </w:rPr>
        <w:t xml:space="preserve">leading </w:t>
      </w:r>
      <w:r w:rsidR="00056132" w:rsidRPr="008B7778">
        <w:rPr>
          <w:rFonts w:cs="Arial"/>
          <w:lang w:val="en-GB"/>
        </w:rPr>
        <w:t xml:space="preserve">European </w:t>
      </w:r>
      <w:r w:rsidR="00876054" w:rsidRPr="008B7778">
        <w:rPr>
          <w:rFonts w:cs="Arial"/>
          <w:lang w:val="en-GB"/>
        </w:rPr>
        <w:t>export economies</w:t>
      </w:r>
      <w:r w:rsidR="00056132" w:rsidRPr="008B7778">
        <w:rPr>
          <w:rFonts w:cs="Arial"/>
          <w:lang w:val="en-GB"/>
        </w:rPr>
        <w:t xml:space="preserve"> </w:t>
      </w:r>
      <w:r w:rsidR="000B64C6" w:rsidRPr="008B7778">
        <w:rPr>
          <w:rFonts w:cs="Arial"/>
          <w:lang w:val="en-GB"/>
        </w:rPr>
        <w:t>that states</w:t>
      </w:r>
      <w:r w:rsidR="00056132" w:rsidRPr="008B7778">
        <w:rPr>
          <w:rFonts w:cs="Arial"/>
          <w:lang w:val="en-GB"/>
        </w:rPr>
        <w:t xml:space="preserve"> principles </w:t>
      </w:r>
      <w:r w:rsidR="00DE3AE4" w:rsidRPr="008B7778">
        <w:rPr>
          <w:rFonts w:cs="Arial"/>
          <w:lang w:val="en-GB"/>
        </w:rPr>
        <w:t>on</w:t>
      </w:r>
      <w:r w:rsidR="00E11BFF" w:rsidRPr="008B7778">
        <w:rPr>
          <w:rFonts w:cs="Arial"/>
          <w:lang w:val="en-GB"/>
        </w:rPr>
        <w:t xml:space="preserve"> </w:t>
      </w:r>
      <w:r w:rsidR="00A4228B" w:rsidRPr="008B7778">
        <w:rPr>
          <w:rFonts w:cs="Arial"/>
          <w:lang w:val="en-GB"/>
        </w:rPr>
        <w:t>confronting the</w:t>
      </w:r>
      <w:r w:rsidR="00056132" w:rsidRPr="008B7778">
        <w:rPr>
          <w:rFonts w:cs="Arial"/>
          <w:lang w:val="en-GB"/>
        </w:rPr>
        <w:t xml:space="preserve"> climate </w:t>
      </w:r>
      <w:r w:rsidR="00A4228B" w:rsidRPr="008B7778">
        <w:rPr>
          <w:rFonts w:cs="Arial"/>
          <w:lang w:val="en-GB"/>
        </w:rPr>
        <w:t xml:space="preserve">urgency </w:t>
      </w:r>
      <w:r w:rsidR="00056132" w:rsidRPr="008B7778">
        <w:rPr>
          <w:rFonts w:cs="Arial"/>
          <w:lang w:val="en-GB"/>
        </w:rPr>
        <w:lastRenderedPageBreak/>
        <w:t>in officially supported export finance</w:t>
      </w:r>
      <w:r w:rsidR="00AB7B79" w:rsidRPr="008B7778">
        <w:rPr>
          <w:rFonts w:cs="Arial"/>
          <w:lang w:val="en-GB"/>
        </w:rPr>
        <w:t xml:space="preserve"> </w:t>
      </w:r>
      <w:r w:rsidR="00056132" w:rsidRPr="008B7778">
        <w:rPr>
          <w:rFonts w:cs="Arial"/>
          <w:lang w:val="en-GB"/>
        </w:rPr>
        <w:t>(Ministry of Economy of France 2021). This includes the commitment to limit global warming to 1.5°C above pre-industrial levels and is supported by several action-oriented announcements, including an assessment of “</w:t>
      </w:r>
      <w:r w:rsidR="00056132" w:rsidRPr="008B7778">
        <w:rPr>
          <w:rFonts w:cs="Arial"/>
          <w:i/>
          <w:lang w:val="en-GB"/>
        </w:rPr>
        <w:t xml:space="preserve">how to best phase out support to [fossil fuel-related] sectors […]” </w:t>
      </w:r>
      <w:r w:rsidR="00056132" w:rsidRPr="008B7778">
        <w:rPr>
          <w:rFonts w:cs="Arial"/>
          <w:lang w:val="en-GB"/>
        </w:rPr>
        <w:t xml:space="preserve">as well as an engagement to “[…] </w:t>
      </w:r>
      <w:r w:rsidR="00056132" w:rsidRPr="008B7778">
        <w:rPr>
          <w:rFonts w:cs="Arial"/>
          <w:i/>
          <w:lang w:val="en-GB"/>
        </w:rPr>
        <w:t>shape a level playing field [at the OECD level] that would duly take the climate emergency into account</w:t>
      </w:r>
      <w:r w:rsidR="00056132" w:rsidRPr="008B7778">
        <w:rPr>
          <w:rFonts w:cs="Arial"/>
          <w:lang w:val="en-GB"/>
        </w:rPr>
        <w:t>” (</w:t>
      </w:r>
      <w:r w:rsidR="00056132" w:rsidRPr="008B7778">
        <w:rPr>
          <w:rFonts w:cs="Arial"/>
          <w:i/>
          <w:lang w:val="en-GB"/>
        </w:rPr>
        <w:t>ibid</w:t>
      </w:r>
      <w:r w:rsidR="00056132" w:rsidRPr="008B7778">
        <w:rPr>
          <w:rFonts w:cs="Arial"/>
          <w:lang w:val="en-GB"/>
        </w:rPr>
        <w:t>., p.2).</w:t>
      </w:r>
      <w:r w:rsidR="00AD05CA" w:rsidRPr="008B7778">
        <w:rPr>
          <w:rFonts w:cs="Arial"/>
          <w:lang w:val="en-GB"/>
        </w:rPr>
        <w:t xml:space="preserve"> </w:t>
      </w:r>
      <w:r w:rsidR="00D33FFB" w:rsidRPr="008B7778">
        <w:rPr>
          <w:rFonts w:cs="Arial"/>
          <w:lang w:val="en-GB"/>
        </w:rPr>
        <w:t xml:space="preserve">However, </w:t>
      </w:r>
      <w:r w:rsidR="00FC7DE1" w:rsidRPr="008B7778">
        <w:rPr>
          <w:rFonts w:cs="Arial"/>
          <w:lang w:val="en-GB"/>
        </w:rPr>
        <w:t xml:space="preserve">both national and international </w:t>
      </w:r>
      <w:r w:rsidR="00D33FFB" w:rsidRPr="008B7778">
        <w:rPr>
          <w:rFonts w:cs="Arial"/>
          <w:lang w:val="en-GB"/>
        </w:rPr>
        <w:t xml:space="preserve">commitments fell short of expectations </w:t>
      </w:r>
      <w:r w:rsidR="002D768A" w:rsidRPr="008B7778">
        <w:rPr>
          <w:rFonts w:cs="Arial"/>
          <w:lang w:val="en-GB"/>
        </w:rPr>
        <w:t xml:space="preserve">from civil society </w:t>
      </w:r>
      <w:r w:rsidR="00D33FFB" w:rsidRPr="008B7778">
        <w:rPr>
          <w:rFonts w:cs="Arial"/>
          <w:lang w:val="en-GB"/>
        </w:rPr>
        <w:t xml:space="preserve">since </w:t>
      </w:r>
      <w:r w:rsidR="00FC7DE1" w:rsidRPr="008B7778">
        <w:rPr>
          <w:rFonts w:cs="Arial"/>
          <w:lang w:val="en-GB"/>
        </w:rPr>
        <w:t xml:space="preserve">they do not </w:t>
      </w:r>
      <w:r w:rsidR="00D33FFB" w:rsidRPr="008B7778">
        <w:rPr>
          <w:rFonts w:cs="Arial"/>
          <w:lang w:val="en-GB"/>
        </w:rPr>
        <w:t>include clear timeline</w:t>
      </w:r>
      <w:r w:rsidR="00FC7DE1" w:rsidRPr="008B7778">
        <w:rPr>
          <w:rFonts w:cs="Arial"/>
          <w:lang w:val="en-GB"/>
        </w:rPr>
        <w:t>s</w:t>
      </w:r>
      <w:r w:rsidR="00D33FFB" w:rsidRPr="008B7778">
        <w:rPr>
          <w:rFonts w:cs="Arial"/>
          <w:lang w:val="en-GB"/>
        </w:rPr>
        <w:t xml:space="preserve"> and scope of action (e.g., </w:t>
      </w:r>
      <w:proofErr w:type="spellStart"/>
      <w:r w:rsidR="00D33FFB" w:rsidRPr="008B7778">
        <w:rPr>
          <w:rFonts w:cs="Arial"/>
          <w:lang w:val="en-GB"/>
        </w:rPr>
        <w:t>Milieudefensie</w:t>
      </w:r>
      <w:proofErr w:type="spellEnd"/>
      <w:r w:rsidR="00D33FFB" w:rsidRPr="008B7778">
        <w:rPr>
          <w:rFonts w:cs="Arial"/>
          <w:lang w:val="en-GB"/>
        </w:rPr>
        <w:t xml:space="preserve"> et al. 2021</w:t>
      </w:r>
      <w:r w:rsidR="00AF6F59" w:rsidRPr="008B7778">
        <w:rPr>
          <w:rFonts w:cs="Arial"/>
          <w:lang w:val="en-GB"/>
        </w:rPr>
        <w:t xml:space="preserve">a and </w:t>
      </w:r>
      <w:r w:rsidR="009C0E5C" w:rsidRPr="008B7778">
        <w:rPr>
          <w:rFonts w:cs="Arial"/>
          <w:lang w:val="en-GB"/>
        </w:rPr>
        <w:t>2021</w:t>
      </w:r>
      <w:r w:rsidR="00AF6F59" w:rsidRPr="008B7778">
        <w:rPr>
          <w:rFonts w:cs="Arial"/>
          <w:lang w:val="en-GB"/>
        </w:rPr>
        <w:t>b</w:t>
      </w:r>
      <w:r w:rsidR="00D33FFB" w:rsidRPr="008B7778">
        <w:rPr>
          <w:rFonts w:cs="Arial"/>
          <w:lang w:val="en-GB"/>
        </w:rPr>
        <w:t>).</w:t>
      </w:r>
      <w:r w:rsidR="00667DDB" w:rsidRPr="008B7778">
        <w:rPr>
          <w:rFonts w:cs="Arial"/>
          <w:lang w:val="en-GB"/>
        </w:rPr>
        <w:t xml:space="preserve"> </w:t>
      </w:r>
      <w:r w:rsidR="000E2213" w:rsidRPr="008B7778">
        <w:rPr>
          <w:rFonts w:cs="Arial"/>
          <w:lang w:val="en-GB"/>
        </w:rPr>
        <w:t>Indeed, civil society actors, such as Both ENDS, Friends of the Earth Netherlands</w:t>
      </w:r>
      <w:r w:rsidR="00EE20A9" w:rsidRPr="008B7778">
        <w:rPr>
          <w:rFonts w:cs="Arial"/>
          <w:lang w:val="en-GB"/>
        </w:rPr>
        <w:t>/</w:t>
      </w:r>
      <w:proofErr w:type="spellStart"/>
      <w:r w:rsidR="004D577F" w:rsidRPr="008B7778">
        <w:rPr>
          <w:rFonts w:cs="Arial"/>
          <w:lang w:val="en-GB"/>
        </w:rPr>
        <w:t>Milieudefensie</w:t>
      </w:r>
      <w:proofErr w:type="spellEnd"/>
      <w:r w:rsidR="000E2213" w:rsidRPr="008B7778">
        <w:rPr>
          <w:rFonts w:cs="Arial"/>
          <w:lang w:val="en-GB"/>
        </w:rPr>
        <w:t xml:space="preserve"> or Oil Change International, have </w:t>
      </w:r>
      <w:r w:rsidR="005659AC" w:rsidRPr="008B7778">
        <w:rPr>
          <w:rFonts w:cs="Arial"/>
          <w:lang w:val="en-GB"/>
        </w:rPr>
        <w:t xml:space="preserve">in the past years </w:t>
      </w:r>
      <w:r w:rsidR="000E2213" w:rsidRPr="008B7778">
        <w:rPr>
          <w:rFonts w:cs="Arial"/>
          <w:lang w:val="en-GB"/>
        </w:rPr>
        <w:t xml:space="preserve">repeatedly requested the Dutch government to align its state-support in export finance with the Paris Agreement and suggested concrete steps (e.g., Both ENDS 2017; 2019; </w:t>
      </w:r>
      <w:proofErr w:type="spellStart"/>
      <w:r w:rsidR="000E2213" w:rsidRPr="008B7778">
        <w:rPr>
          <w:rFonts w:cs="Arial"/>
          <w:lang w:val="en-GB"/>
        </w:rPr>
        <w:t>Milieudefensie</w:t>
      </w:r>
      <w:proofErr w:type="spellEnd"/>
      <w:r w:rsidR="000E2213" w:rsidRPr="008B7778">
        <w:rPr>
          <w:rFonts w:cs="Arial"/>
          <w:lang w:val="en-GB"/>
        </w:rPr>
        <w:t xml:space="preserve"> 2020).</w:t>
      </w:r>
      <w:r w:rsidR="007E55BB" w:rsidRPr="008B7778">
        <w:rPr>
          <w:rFonts w:cs="Arial"/>
          <w:lang w:val="en-GB"/>
        </w:rPr>
        <w:t xml:space="preserve"> </w:t>
      </w:r>
      <w:r w:rsidR="008F5616" w:rsidRPr="008B7778">
        <w:rPr>
          <w:rFonts w:cs="Arial"/>
          <w:lang w:val="en-GB"/>
        </w:rPr>
        <w:t>However, t</w:t>
      </w:r>
      <w:r w:rsidR="00EF091F" w:rsidRPr="008B7778">
        <w:rPr>
          <w:rFonts w:cs="Arial"/>
          <w:lang w:val="en-GB"/>
        </w:rPr>
        <w:t xml:space="preserve">o date, the scenarios on aligning Dutch officially supported export finance with the Paris Agreement have not been presented. </w:t>
      </w:r>
      <w:r w:rsidR="00FE5261" w:rsidRPr="008B7778">
        <w:rPr>
          <w:rFonts w:cs="Arial"/>
          <w:lang w:val="en-GB"/>
        </w:rPr>
        <w:t xml:space="preserve">In its 2020 Annual Report, </w:t>
      </w:r>
      <w:r w:rsidR="00837C01" w:rsidRPr="008B7778">
        <w:rPr>
          <w:rFonts w:cs="Arial"/>
          <w:lang w:val="en-GB"/>
        </w:rPr>
        <w:t>Atradius DSB</w:t>
      </w:r>
      <w:r w:rsidR="009E2D55" w:rsidRPr="008B7778">
        <w:rPr>
          <w:rFonts w:cs="Arial"/>
          <w:lang w:val="en-GB"/>
        </w:rPr>
        <w:t xml:space="preserve"> </w:t>
      </w:r>
      <w:r w:rsidR="00FE5261" w:rsidRPr="008B7778">
        <w:rPr>
          <w:rFonts w:cs="Arial"/>
          <w:lang w:val="en-GB"/>
        </w:rPr>
        <w:t xml:space="preserve">referred to the ambitious pledges of the Dutch cabinet and State Secretary </w:t>
      </w:r>
      <w:proofErr w:type="spellStart"/>
      <w:r w:rsidR="00FE5261" w:rsidRPr="008B7778">
        <w:rPr>
          <w:rFonts w:cs="Arial"/>
          <w:lang w:val="en-GB"/>
        </w:rPr>
        <w:t>Vijlbrief</w:t>
      </w:r>
      <w:proofErr w:type="spellEnd"/>
      <w:r w:rsidR="00AA1A85" w:rsidRPr="008B7778">
        <w:rPr>
          <w:rFonts w:cs="Arial"/>
          <w:lang w:val="en-GB"/>
        </w:rPr>
        <w:t xml:space="preserve"> to align officially supported Dutch export finance with the Paris Agreement</w:t>
      </w:r>
      <w:r w:rsidR="00FE5261" w:rsidRPr="008B7778">
        <w:rPr>
          <w:rFonts w:cs="Arial"/>
          <w:lang w:val="en-GB"/>
        </w:rPr>
        <w:t>.</w:t>
      </w:r>
      <w:r w:rsidR="0039620E" w:rsidRPr="008B7778">
        <w:rPr>
          <w:rFonts w:cs="Arial"/>
          <w:lang w:val="en-GB"/>
        </w:rPr>
        <w:t xml:space="preserve"> In comparison with other ECAs, t</w:t>
      </w:r>
      <w:r w:rsidR="00AA1A85" w:rsidRPr="008B7778">
        <w:rPr>
          <w:rFonts w:cs="Arial"/>
          <w:lang w:val="en-GB"/>
        </w:rPr>
        <w:t xml:space="preserve">his </w:t>
      </w:r>
      <w:r w:rsidR="009E2D55" w:rsidRPr="008B7778">
        <w:rPr>
          <w:rFonts w:cs="Arial"/>
          <w:lang w:val="en-GB"/>
        </w:rPr>
        <w:t xml:space="preserve">narrative of ‘Paris alignment’ </w:t>
      </w:r>
      <w:r w:rsidR="00EC1093" w:rsidRPr="008B7778">
        <w:rPr>
          <w:rFonts w:cs="Arial"/>
          <w:lang w:val="en-GB"/>
        </w:rPr>
        <w:t xml:space="preserve">is </w:t>
      </w:r>
      <w:r w:rsidR="00A342B9" w:rsidRPr="008B7778">
        <w:rPr>
          <w:rFonts w:cs="Arial"/>
          <w:lang w:val="en-GB"/>
        </w:rPr>
        <w:t xml:space="preserve">a feature </w:t>
      </w:r>
      <w:r w:rsidR="000F1484" w:rsidRPr="008B7778">
        <w:rPr>
          <w:rFonts w:cs="Arial"/>
          <w:lang w:val="en-GB"/>
        </w:rPr>
        <w:t xml:space="preserve">only taken up by the </w:t>
      </w:r>
      <w:r w:rsidR="00A845D9" w:rsidRPr="008B7778">
        <w:rPr>
          <w:rFonts w:cs="Arial"/>
          <w:lang w:val="en-GB"/>
        </w:rPr>
        <w:t xml:space="preserve">two official </w:t>
      </w:r>
      <w:r w:rsidR="000F1484" w:rsidRPr="008B7778">
        <w:rPr>
          <w:rFonts w:cs="Arial"/>
          <w:lang w:val="en-GB"/>
        </w:rPr>
        <w:t>Swedish ECA</w:t>
      </w:r>
      <w:r w:rsidR="004C7ECD" w:rsidRPr="008B7778">
        <w:rPr>
          <w:rFonts w:cs="Arial"/>
          <w:lang w:val="en-GB"/>
        </w:rPr>
        <w:t>s</w:t>
      </w:r>
      <w:r w:rsidR="000F1484" w:rsidRPr="008B7778">
        <w:t xml:space="preserve"> </w:t>
      </w:r>
      <w:proofErr w:type="spellStart"/>
      <w:r w:rsidR="000F1484" w:rsidRPr="008B7778">
        <w:rPr>
          <w:rFonts w:cs="Arial"/>
          <w:i/>
          <w:iCs/>
          <w:lang w:val="en-GB"/>
        </w:rPr>
        <w:t>Exportkreditnämnden</w:t>
      </w:r>
      <w:proofErr w:type="spellEnd"/>
      <w:r w:rsidR="00FF0564" w:rsidRPr="008B7778">
        <w:rPr>
          <w:rFonts w:cs="Arial"/>
          <w:lang w:val="en-GB"/>
        </w:rPr>
        <w:t xml:space="preserve"> (EKN)</w:t>
      </w:r>
      <w:r w:rsidR="004C7ECD" w:rsidRPr="008B7778">
        <w:rPr>
          <w:rFonts w:cs="Arial"/>
          <w:lang w:val="en-GB"/>
        </w:rPr>
        <w:t xml:space="preserve"> and </w:t>
      </w:r>
      <w:r w:rsidR="00A56425" w:rsidRPr="008B7778">
        <w:rPr>
          <w:rFonts w:cs="Arial"/>
          <w:lang w:val="en-GB"/>
        </w:rPr>
        <w:t xml:space="preserve">Swedish </w:t>
      </w:r>
      <w:r w:rsidR="004C7ECD" w:rsidRPr="008B7778">
        <w:rPr>
          <w:rFonts w:cs="Arial"/>
          <w:lang w:val="en-GB"/>
        </w:rPr>
        <w:t>Export Credit Corporation (SEK)</w:t>
      </w:r>
      <w:r w:rsidR="00A342B9" w:rsidRPr="008B7778">
        <w:rPr>
          <w:rFonts w:cs="Arial"/>
          <w:lang w:val="en-GB"/>
        </w:rPr>
        <w:t xml:space="preserve">. </w:t>
      </w:r>
      <w:r w:rsidR="00AB34E7" w:rsidRPr="008B7778">
        <w:rPr>
          <w:rFonts w:cs="Arial"/>
          <w:lang w:val="en-GB"/>
        </w:rPr>
        <w:t xml:space="preserve">In this context, </w:t>
      </w:r>
      <w:r w:rsidR="00D32F0B" w:rsidRPr="008B7778">
        <w:rPr>
          <w:rFonts w:cs="Arial"/>
          <w:lang w:val="en-GB"/>
        </w:rPr>
        <w:fldChar w:fldCharType="begin"/>
      </w:r>
      <w:r w:rsidR="00D32F0B" w:rsidRPr="008B7778">
        <w:rPr>
          <w:rFonts w:cs="Arial"/>
          <w:lang w:val="en-GB"/>
        </w:rPr>
        <w:instrText xml:space="preserve"> REF _Ref81384014 \h </w:instrText>
      </w:r>
      <w:r w:rsidR="008B7778" w:rsidRPr="008B7778">
        <w:rPr>
          <w:rFonts w:cs="Arial"/>
          <w:lang w:val="en-GB"/>
        </w:rPr>
        <w:instrText xml:space="preserve"> \* MERGEFORMAT </w:instrText>
      </w:r>
      <w:r w:rsidR="00D32F0B" w:rsidRPr="008B7778">
        <w:rPr>
          <w:rFonts w:cs="Arial"/>
          <w:lang w:val="en-GB"/>
        </w:rPr>
      </w:r>
      <w:r w:rsidR="00D32F0B" w:rsidRPr="008B7778">
        <w:rPr>
          <w:rFonts w:cs="Arial"/>
          <w:lang w:val="en-GB"/>
        </w:rPr>
        <w:fldChar w:fldCharType="separate"/>
      </w:r>
      <w:r w:rsidR="00AB310B" w:rsidRPr="008B7778">
        <w:t xml:space="preserve">Text Box </w:t>
      </w:r>
      <w:r w:rsidR="00AB310B" w:rsidRPr="008B7778">
        <w:rPr>
          <w:noProof/>
        </w:rPr>
        <w:t>2</w:t>
      </w:r>
      <w:r w:rsidR="00D32F0B" w:rsidRPr="008B7778">
        <w:rPr>
          <w:rFonts w:cs="Arial"/>
          <w:lang w:val="en-GB"/>
        </w:rPr>
        <w:fldChar w:fldCharType="end"/>
      </w:r>
      <w:r w:rsidR="00D32F0B" w:rsidRPr="008B7778">
        <w:rPr>
          <w:rFonts w:cs="Arial"/>
          <w:lang w:val="en-GB"/>
        </w:rPr>
        <w:t xml:space="preserve"> provides an overview of Atradius DSB´s climate-related policies and commitments</w:t>
      </w:r>
      <w:r w:rsidR="00047D06" w:rsidRPr="008B7778">
        <w:rPr>
          <w:rFonts w:cs="Arial"/>
          <w:lang w:val="en-GB"/>
        </w:rPr>
        <w:t>.</w:t>
      </w:r>
      <w:r w:rsidR="00D17327">
        <w:rPr>
          <w:rFonts w:cs="Arial"/>
          <w:lang w:val="en-GB"/>
        </w:rPr>
        <w:t xml:space="preserve">  </w:t>
      </w:r>
    </w:p>
    <w:p w14:paraId="21DC7447" w14:textId="77777777" w:rsidR="00AB34E7" w:rsidRPr="00EC285E" w:rsidRDefault="00BD7EC5" w:rsidP="00070A29">
      <w:pPr>
        <w:pStyle w:val="Beschriftung"/>
        <w:spacing w:after="0"/>
        <w:rPr>
          <w:sz w:val="20"/>
          <w:szCs w:val="20"/>
        </w:rPr>
      </w:pPr>
      <w:bookmarkStart w:id="10" w:name="_Ref81384014"/>
      <w:r w:rsidRPr="00EC285E">
        <w:rPr>
          <w:sz w:val="20"/>
          <w:szCs w:val="20"/>
        </w:rPr>
        <w:t xml:space="preserve">Text </w:t>
      </w:r>
      <w:r w:rsidR="00AB34E7" w:rsidRPr="00EC285E">
        <w:rPr>
          <w:sz w:val="20"/>
          <w:szCs w:val="20"/>
        </w:rPr>
        <w:t xml:space="preserve">Box </w:t>
      </w:r>
      <w:r w:rsidR="00AB34E7" w:rsidRPr="00EC285E">
        <w:rPr>
          <w:sz w:val="20"/>
          <w:szCs w:val="20"/>
        </w:rPr>
        <w:fldChar w:fldCharType="begin"/>
      </w:r>
      <w:r w:rsidR="00AB34E7" w:rsidRPr="00EC285E">
        <w:rPr>
          <w:sz w:val="20"/>
          <w:szCs w:val="20"/>
        </w:rPr>
        <w:instrText xml:space="preserve"> SEQ Box \* ARABIC </w:instrText>
      </w:r>
      <w:r w:rsidR="00AB34E7" w:rsidRPr="00EC285E">
        <w:rPr>
          <w:sz w:val="20"/>
          <w:szCs w:val="20"/>
        </w:rPr>
        <w:fldChar w:fldCharType="separate"/>
      </w:r>
      <w:r w:rsidR="005D3FD5" w:rsidRPr="00EC285E">
        <w:rPr>
          <w:noProof/>
          <w:sz w:val="20"/>
          <w:szCs w:val="20"/>
        </w:rPr>
        <w:t>2</w:t>
      </w:r>
      <w:r w:rsidR="00AB34E7" w:rsidRPr="00EC285E">
        <w:rPr>
          <w:sz w:val="20"/>
          <w:szCs w:val="20"/>
        </w:rPr>
        <w:fldChar w:fldCharType="end"/>
      </w:r>
      <w:bookmarkEnd w:id="10"/>
      <w:r w:rsidR="00AB34E7" w:rsidRPr="00EC285E">
        <w:rPr>
          <w:sz w:val="20"/>
          <w:szCs w:val="20"/>
        </w:rPr>
        <w:t>: Atradius DSB´s climate-related commitments</w:t>
      </w:r>
      <w:r w:rsidR="00792BF3" w:rsidRPr="00EC285E">
        <w:rPr>
          <w:sz w:val="20"/>
          <w:szCs w:val="20"/>
        </w:rPr>
        <w:t xml:space="preserve"> and practices</w:t>
      </w:r>
    </w:p>
    <w:tbl>
      <w:tblPr>
        <w:tblStyle w:val="Tabellenraster"/>
        <w:tblW w:w="0" w:type="auto"/>
        <w:tblLook w:val="04A0" w:firstRow="1" w:lastRow="0" w:firstColumn="1" w:lastColumn="0" w:noHBand="0" w:noVBand="1"/>
      </w:tblPr>
      <w:tblGrid>
        <w:gridCol w:w="9016"/>
      </w:tblGrid>
      <w:tr w:rsidR="00AB34E7" w:rsidRPr="00936627" w14:paraId="4FD40EF0" w14:textId="77777777" w:rsidTr="002923FE">
        <w:trPr>
          <w:trHeight w:val="558"/>
        </w:trPr>
        <w:tc>
          <w:tcPr>
            <w:tcW w:w="9016" w:type="dxa"/>
          </w:tcPr>
          <w:p w14:paraId="2165999E" w14:textId="77777777" w:rsidR="009705D5" w:rsidRPr="00EC285E" w:rsidRDefault="009705D5" w:rsidP="00070A29">
            <w:pPr>
              <w:pStyle w:val="Listenabsatz"/>
              <w:numPr>
                <w:ilvl w:val="0"/>
                <w:numId w:val="28"/>
              </w:numPr>
              <w:spacing w:after="0"/>
              <w:rPr>
                <w:szCs w:val="24"/>
                <w:lang w:val="en-GB"/>
              </w:rPr>
            </w:pPr>
            <w:r w:rsidRPr="00EC285E">
              <w:rPr>
                <w:szCs w:val="24"/>
                <w:lang w:val="en-GB"/>
              </w:rPr>
              <w:t xml:space="preserve">Commitment to meet the Paris Climate goals </w:t>
            </w:r>
            <w:r w:rsidR="006431F4" w:rsidRPr="00EC285E">
              <w:rPr>
                <w:szCs w:val="24"/>
                <w:lang w:val="en-GB"/>
              </w:rPr>
              <w:t>(Ministry of Finance 2021a</w:t>
            </w:r>
            <w:r w:rsidR="009E3DB0" w:rsidRPr="00EC285E">
              <w:rPr>
                <w:szCs w:val="24"/>
                <w:lang w:val="en-GB"/>
              </w:rPr>
              <w:t>; Ministry of Economy of France 2021)</w:t>
            </w:r>
            <w:r w:rsidR="001812A8" w:rsidRPr="00EC285E">
              <w:rPr>
                <w:szCs w:val="24"/>
                <w:lang w:val="en-GB"/>
              </w:rPr>
              <w:t>.</w:t>
            </w:r>
          </w:p>
          <w:p w14:paraId="51C3035C" w14:textId="77777777" w:rsidR="00AB34E7" w:rsidRPr="00316233" w:rsidRDefault="00DC6DE3" w:rsidP="00070A29">
            <w:pPr>
              <w:pStyle w:val="Listenabsatz"/>
              <w:numPr>
                <w:ilvl w:val="0"/>
                <w:numId w:val="28"/>
              </w:numPr>
              <w:spacing w:after="0"/>
              <w:rPr>
                <w:szCs w:val="24"/>
                <w:lang w:val="en-GB"/>
              </w:rPr>
            </w:pPr>
            <w:r w:rsidRPr="00316233">
              <w:rPr>
                <w:szCs w:val="24"/>
                <w:lang w:val="en-GB"/>
              </w:rPr>
              <w:t xml:space="preserve">Commitment </w:t>
            </w:r>
            <w:r w:rsidR="00EB7EDF" w:rsidRPr="00316233">
              <w:rPr>
                <w:szCs w:val="24"/>
                <w:lang w:val="en-GB"/>
              </w:rPr>
              <w:t>to</w:t>
            </w:r>
            <w:r w:rsidR="00471565" w:rsidRPr="00316233">
              <w:rPr>
                <w:szCs w:val="24"/>
                <w:lang w:val="en-GB"/>
              </w:rPr>
              <w:t xml:space="preserve"> not</w:t>
            </w:r>
            <w:r w:rsidR="00EB7EDF" w:rsidRPr="00316233">
              <w:rPr>
                <w:szCs w:val="24"/>
                <w:lang w:val="en-GB"/>
              </w:rPr>
              <w:t xml:space="preserve"> support</w:t>
            </w:r>
            <w:r w:rsidR="00A27C6C" w:rsidRPr="00316233">
              <w:rPr>
                <w:szCs w:val="24"/>
                <w:lang w:val="en-GB"/>
              </w:rPr>
              <w:t xml:space="preserve"> (thermal)</w:t>
            </w:r>
            <w:r w:rsidR="00EB7EDF" w:rsidRPr="00316233">
              <w:rPr>
                <w:szCs w:val="24"/>
                <w:lang w:val="en-GB"/>
              </w:rPr>
              <w:t xml:space="preserve"> coal-fired electricity generation and related value chains</w:t>
            </w:r>
            <w:r w:rsidR="00471565" w:rsidRPr="00316233">
              <w:rPr>
                <w:szCs w:val="24"/>
                <w:lang w:val="en-GB"/>
              </w:rPr>
              <w:t xml:space="preserve">. This goes beyond the rules imposed by the OECD Arrangement on Officially Supported Export Credits (hard law in the EU) which </w:t>
            </w:r>
            <w:r w:rsidR="002E4026" w:rsidRPr="00316233">
              <w:rPr>
                <w:szCs w:val="24"/>
                <w:lang w:val="en-GB"/>
              </w:rPr>
              <w:t xml:space="preserve">broadly </w:t>
            </w:r>
            <w:r w:rsidR="00471565" w:rsidRPr="00316233">
              <w:rPr>
                <w:szCs w:val="24"/>
                <w:lang w:val="en-GB"/>
              </w:rPr>
              <w:t>restricts</w:t>
            </w:r>
            <w:r w:rsidR="002E40C9" w:rsidRPr="00316233">
              <w:rPr>
                <w:szCs w:val="24"/>
                <w:lang w:val="en-GB"/>
              </w:rPr>
              <w:t xml:space="preserve"> ECA</w:t>
            </w:r>
            <w:r w:rsidR="00471565" w:rsidRPr="00316233">
              <w:rPr>
                <w:szCs w:val="24"/>
                <w:lang w:val="en-GB"/>
              </w:rPr>
              <w:t xml:space="preserve"> financing of projects with repayment terms of two years or more involving coal-fired electricity generation</w:t>
            </w:r>
            <w:r w:rsidR="001812A8" w:rsidRPr="00316233">
              <w:rPr>
                <w:szCs w:val="24"/>
                <w:lang w:val="en-GB"/>
              </w:rPr>
              <w:t>.</w:t>
            </w:r>
          </w:p>
          <w:p w14:paraId="4164CCC5" w14:textId="77777777" w:rsidR="00D20686" w:rsidRPr="00EC285E" w:rsidRDefault="00D20686" w:rsidP="00070A29">
            <w:pPr>
              <w:pStyle w:val="Listenabsatz"/>
              <w:numPr>
                <w:ilvl w:val="0"/>
                <w:numId w:val="28"/>
              </w:numPr>
              <w:spacing w:after="0"/>
              <w:rPr>
                <w:szCs w:val="24"/>
                <w:lang w:val="en-GB"/>
              </w:rPr>
            </w:pPr>
            <w:r w:rsidRPr="00316233">
              <w:rPr>
                <w:szCs w:val="24"/>
                <w:lang w:val="en-GB"/>
              </w:rPr>
              <w:t>Commitment to not</w:t>
            </w:r>
            <w:r w:rsidRPr="00EC285E">
              <w:rPr>
                <w:szCs w:val="24"/>
                <w:lang w:val="en-GB"/>
              </w:rPr>
              <w:t xml:space="preserve"> support unconventional oil and gas interventions (e.g., fracking)</w:t>
            </w:r>
            <w:r w:rsidR="009F423F" w:rsidRPr="00EC285E">
              <w:rPr>
                <w:szCs w:val="24"/>
                <w:lang w:val="en-GB"/>
              </w:rPr>
              <w:t>.</w:t>
            </w:r>
          </w:p>
          <w:p w14:paraId="53106E11" w14:textId="77777777" w:rsidR="00C639BB" w:rsidRPr="00EC285E" w:rsidRDefault="001B1FA2" w:rsidP="00070A29">
            <w:pPr>
              <w:pStyle w:val="Listenabsatz"/>
              <w:numPr>
                <w:ilvl w:val="0"/>
                <w:numId w:val="28"/>
              </w:numPr>
              <w:spacing w:after="0"/>
              <w:rPr>
                <w:szCs w:val="24"/>
                <w:lang w:val="en-GB"/>
              </w:rPr>
            </w:pPr>
            <w:r w:rsidRPr="00EC285E">
              <w:rPr>
                <w:szCs w:val="24"/>
                <w:lang w:val="en-GB"/>
              </w:rPr>
              <w:t>Social and Environmental review</w:t>
            </w:r>
            <w:r w:rsidR="004B3A32" w:rsidRPr="00EC285E">
              <w:rPr>
                <w:szCs w:val="24"/>
                <w:lang w:val="en-GB"/>
              </w:rPr>
              <w:t>s</w:t>
            </w:r>
            <w:r w:rsidRPr="00EC285E">
              <w:rPr>
                <w:szCs w:val="24"/>
                <w:lang w:val="en-GB"/>
              </w:rPr>
              <w:t xml:space="preserve"> of </w:t>
            </w:r>
            <w:r w:rsidR="004B3A32" w:rsidRPr="00EC285E">
              <w:rPr>
                <w:szCs w:val="24"/>
                <w:lang w:val="en-GB"/>
              </w:rPr>
              <w:t xml:space="preserve">selected </w:t>
            </w:r>
            <w:r w:rsidR="00EC54A7" w:rsidRPr="00EC285E">
              <w:rPr>
                <w:szCs w:val="24"/>
                <w:lang w:val="en-GB"/>
              </w:rPr>
              <w:t>project</w:t>
            </w:r>
            <w:r w:rsidRPr="00EC285E">
              <w:rPr>
                <w:szCs w:val="24"/>
                <w:lang w:val="en-GB"/>
              </w:rPr>
              <w:t>s</w:t>
            </w:r>
            <w:r w:rsidR="00EC54A7" w:rsidRPr="00EC285E">
              <w:rPr>
                <w:szCs w:val="24"/>
                <w:lang w:val="en-GB"/>
              </w:rPr>
              <w:t xml:space="preserve"> according to IFC Performance Standards</w:t>
            </w:r>
            <w:r w:rsidRPr="00EC285E">
              <w:rPr>
                <w:szCs w:val="24"/>
                <w:lang w:val="en-GB"/>
              </w:rPr>
              <w:t xml:space="preserve"> on Social and Environmental Sustainability </w:t>
            </w:r>
            <w:r w:rsidR="008C3AAB" w:rsidRPr="00EC285E">
              <w:rPr>
                <w:szCs w:val="24"/>
                <w:lang w:val="en-GB"/>
              </w:rPr>
              <w:t>(e.g., Atradius DSB 2017)</w:t>
            </w:r>
            <w:r w:rsidR="00294B66" w:rsidRPr="00EC285E">
              <w:rPr>
                <w:szCs w:val="24"/>
                <w:lang w:val="en-GB"/>
              </w:rPr>
              <w:t>.</w:t>
            </w:r>
          </w:p>
          <w:p w14:paraId="385B6D79" w14:textId="77777777" w:rsidR="0038573B" w:rsidRPr="00EC285E" w:rsidRDefault="00683C8C" w:rsidP="00070A29">
            <w:pPr>
              <w:pStyle w:val="Listenabsatz"/>
              <w:numPr>
                <w:ilvl w:val="0"/>
                <w:numId w:val="28"/>
              </w:numPr>
              <w:spacing w:after="0"/>
              <w:rPr>
                <w:szCs w:val="24"/>
                <w:lang w:val="en-GB"/>
              </w:rPr>
            </w:pPr>
            <w:r w:rsidRPr="00EC285E">
              <w:rPr>
                <w:szCs w:val="24"/>
                <w:lang w:val="en-GB"/>
              </w:rPr>
              <w:t>Special ‘green instruments’ since 2020 (</w:t>
            </w:r>
            <w:r w:rsidR="00CC4CAB" w:rsidRPr="00EC285E">
              <w:rPr>
                <w:szCs w:val="24"/>
                <w:lang w:val="en-GB"/>
              </w:rPr>
              <w:t>s</w:t>
            </w:r>
            <w:r w:rsidRPr="00EC285E">
              <w:rPr>
                <w:szCs w:val="24"/>
                <w:lang w:val="en-GB"/>
              </w:rPr>
              <w:t xml:space="preserve">ee </w:t>
            </w:r>
            <w:r w:rsidR="00286DBF">
              <w:rPr>
                <w:szCs w:val="24"/>
                <w:lang w:val="en-GB"/>
              </w:rPr>
              <w:t>S</w:t>
            </w:r>
            <w:r w:rsidR="002E36ED" w:rsidRPr="00EC285E">
              <w:rPr>
                <w:szCs w:val="24"/>
                <w:lang w:val="en-GB"/>
              </w:rPr>
              <w:t xml:space="preserve">ubsection </w:t>
            </w:r>
            <w:r w:rsidR="00B943A6" w:rsidRPr="00EC285E">
              <w:rPr>
                <w:szCs w:val="24"/>
                <w:lang w:val="en-GB"/>
              </w:rPr>
              <w:fldChar w:fldCharType="begin"/>
            </w:r>
            <w:r w:rsidR="00B943A6" w:rsidRPr="00EC285E">
              <w:rPr>
                <w:szCs w:val="24"/>
                <w:lang w:val="en-GB"/>
              </w:rPr>
              <w:instrText xml:space="preserve"> REF _Ref81927774 \r \h </w:instrText>
            </w:r>
            <w:r w:rsidR="00936627" w:rsidRPr="00EC285E">
              <w:rPr>
                <w:szCs w:val="24"/>
                <w:lang w:val="en-GB"/>
              </w:rPr>
              <w:instrText xml:space="preserve"> \* MERGEFORMAT </w:instrText>
            </w:r>
            <w:r w:rsidR="00B943A6" w:rsidRPr="00EC285E">
              <w:rPr>
                <w:szCs w:val="24"/>
                <w:lang w:val="en-GB"/>
              </w:rPr>
            </w:r>
            <w:r w:rsidR="00B943A6" w:rsidRPr="00EC285E">
              <w:rPr>
                <w:szCs w:val="24"/>
                <w:lang w:val="en-GB"/>
              </w:rPr>
              <w:fldChar w:fldCharType="separate"/>
            </w:r>
            <w:r w:rsidR="00B943A6" w:rsidRPr="00EC285E">
              <w:rPr>
                <w:szCs w:val="24"/>
                <w:lang w:val="en-GB"/>
              </w:rPr>
              <w:t>4.4</w:t>
            </w:r>
            <w:r w:rsidR="00B943A6" w:rsidRPr="00EC285E">
              <w:rPr>
                <w:szCs w:val="24"/>
                <w:lang w:val="en-GB"/>
              </w:rPr>
              <w:fldChar w:fldCharType="end"/>
            </w:r>
            <w:r w:rsidR="001F379D" w:rsidRPr="00EC285E">
              <w:rPr>
                <w:szCs w:val="24"/>
                <w:lang w:val="en-GB"/>
              </w:rPr>
              <w:t xml:space="preserve"> for more details</w:t>
            </w:r>
            <w:r w:rsidRPr="00EC285E">
              <w:rPr>
                <w:szCs w:val="24"/>
                <w:lang w:val="en-GB"/>
              </w:rPr>
              <w:t>)</w:t>
            </w:r>
            <w:r w:rsidR="00294B66" w:rsidRPr="00EC285E">
              <w:rPr>
                <w:szCs w:val="24"/>
                <w:lang w:val="en-GB"/>
              </w:rPr>
              <w:t>.</w:t>
            </w:r>
          </w:p>
          <w:p w14:paraId="268398FE" w14:textId="77777777" w:rsidR="0038573B" w:rsidRPr="00F736F9" w:rsidRDefault="0038573B" w:rsidP="00070A29">
            <w:pPr>
              <w:pStyle w:val="Listenabsatz"/>
              <w:numPr>
                <w:ilvl w:val="0"/>
                <w:numId w:val="28"/>
              </w:numPr>
              <w:spacing w:after="0"/>
              <w:rPr>
                <w:szCs w:val="24"/>
                <w:lang w:val="en-GB"/>
              </w:rPr>
            </w:pPr>
            <w:r w:rsidRPr="00EC285E">
              <w:rPr>
                <w:szCs w:val="24"/>
                <w:lang w:val="en-GB"/>
              </w:rPr>
              <w:t>Dedicated climate-related disclosure</w:t>
            </w:r>
            <w:r w:rsidR="001F379D" w:rsidRPr="00EC285E">
              <w:rPr>
                <w:szCs w:val="24"/>
                <w:lang w:val="en-GB"/>
              </w:rPr>
              <w:t xml:space="preserve"> (see </w:t>
            </w:r>
            <w:r w:rsidR="00286DBF">
              <w:rPr>
                <w:szCs w:val="24"/>
                <w:lang w:val="en-GB"/>
              </w:rPr>
              <w:t>S</w:t>
            </w:r>
            <w:r w:rsidR="001F379D" w:rsidRPr="00EC285E">
              <w:rPr>
                <w:szCs w:val="24"/>
                <w:lang w:val="en-GB"/>
              </w:rPr>
              <w:t xml:space="preserve">ubsection </w:t>
            </w:r>
            <w:r w:rsidR="001F379D" w:rsidRPr="00EC285E">
              <w:rPr>
                <w:szCs w:val="24"/>
                <w:lang w:val="en-GB"/>
              </w:rPr>
              <w:fldChar w:fldCharType="begin"/>
            </w:r>
            <w:r w:rsidR="001F379D" w:rsidRPr="00EC285E">
              <w:rPr>
                <w:szCs w:val="24"/>
                <w:lang w:val="en-GB"/>
              </w:rPr>
              <w:instrText xml:space="preserve"> REF _Ref81927832 \r \h </w:instrText>
            </w:r>
            <w:r w:rsidR="00936627" w:rsidRPr="00EC285E">
              <w:rPr>
                <w:szCs w:val="24"/>
                <w:lang w:val="en-GB"/>
              </w:rPr>
              <w:instrText xml:space="preserve"> \* MERGEFORMAT </w:instrText>
            </w:r>
            <w:r w:rsidR="001F379D" w:rsidRPr="00EC285E">
              <w:rPr>
                <w:szCs w:val="24"/>
                <w:lang w:val="en-GB"/>
              </w:rPr>
            </w:r>
            <w:r w:rsidR="001F379D" w:rsidRPr="00EC285E">
              <w:rPr>
                <w:szCs w:val="24"/>
                <w:lang w:val="en-GB"/>
              </w:rPr>
              <w:fldChar w:fldCharType="separate"/>
            </w:r>
            <w:r w:rsidR="001F379D" w:rsidRPr="00EC285E">
              <w:rPr>
                <w:szCs w:val="24"/>
                <w:lang w:val="en-GB"/>
              </w:rPr>
              <w:t>4.1</w:t>
            </w:r>
            <w:r w:rsidR="001F379D" w:rsidRPr="00EC285E">
              <w:rPr>
                <w:szCs w:val="24"/>
                <w:lang w:val="en-GB"/>
              </w:rPr>
              <w:fldChar w:fldCharType="end"/>
            </w:r>
            <w:r w:rsidR="001F379D" w:rsidRPr="00EC285E">
              <w:rPr>
                <w:szCs w:val="24"/>
                <w:lang w:val="en-GB"/>
              </w:rPr>
              <w:t xml:space="preserve"> for more details).</w:t>
            </w:r>
          </w:p>
          <w:p w14:paraId="2191208B" w14:textId="77777777" w:rsidR="00286DBF" w:rsidRPr="00EC285E" w:rsidRDefault="000A7ACD" w:rsidP="00070A29">
            <w:pPr>
              <w:pStyle w:val="Listenabsatz"/>
              <w:numPr>
                <w:ilvl w:val="1"/>
                <w:numId w:val="28"/>
              </w:numPr>
              <w:spacing w:after="0"/>
              <w:rPr>
                <w:szCs w:val="24"/>
                <w:lang w:val="en-GB"/>
              </w:rPr>
            </w:pPr>
            <w:r w:rsidRPr="00EC285E">
              <w:rPr>
                <w:b/>
                <w:i/>
                <w:szCs w:val="24"/>
                <w:lang w:val="en-GB"/>
              </w:rPr>
              <w:t xml:space="preserve">The ‘fossil fuel </w:t>
            </w:r>
            <w:r w:rsidR="00B1796E">
              <w:rPr>
                <w:b/>
                <w:i/>
                <w:szCs w:val="24"/>
                <w:lang w:val="en-GB"/>
              </w:rPr>
              <w:t xml:space="preserve">measurement </w:t>
            </w:r>
            <w:r w:rsidRPr="00EC285E">
              <w:rPr>
                <w:b/>
                <w:i/>
                <w:szCs w:val="24"/>
                <w:lang w:val="en-GB"/>
              </w:rPr>
              <w:t>methodology’:</w:t>
            </w:r>
            <w:r w:rsidRPr="00EC285E">
              <w:rPr>
                <w:szCs w:val="24"/>
                <w:lang w:val="en-GB"/>
              </w:rPr>
              <w:t xml:space="preserve"> </w:t>
            </w:r>
            <w:r w:rsidR="00862921">
              <w:rPr>
                <w:szCs w:val="24"/>
                <w:lang w:val="en-GB"/>
              </w:rPr>
              <w:t>Own</w:t>
            </w:r>
            <w:r w:rsidRPr="00EC285E">
              <w:rPr>
                <w:szCs w:val="24"/>
                <w:lang w:val="en-GB"/>
              </w:rPr>
              <w:t xml:space="preserve"> methodology to determine the share of fossil fuel-related support in the insurance portfolio, including a differentiation between types of fossil fuels (coal, oil and gas), related value chains (upstream, midstream and downstream) and the </w:t>
            </w:r>
            <w:r w:rsidRPr="00F736F9">
              <w:rPr>
                <w:szCs w:val="24"/>
                <w:lang w:val="en-GB"/>
              </w:rPr>
              <w:t xml:space="preserve">extent </w:t>
            </w:r>
            <w:r w:rsidRPr="00EC285E">
              <w:rPr>
                <w:szCs w:val="24"/>
                <w:lang w:val="en-GB"/>
              </w:rPr>
              <w:t>to which they should be classified as ‘fossil’ or not.</w:t>
            </w:r>
            <w:r w:rsidRPr="00EC285E">
              <w:rPr>
                <w:szCs w:val="24"/>
              </w:rPr>
              <w:t xml:space="preserve"> </w:t>
            </w:r>
            <w:r w:rsidRPr="00EC285E">
              <w:rPr>
                <w:szCs w:val="24"/>
                <w:lang w:val="en-GB"/>
              </w:rPr>
              <w:t xml:space="preserve">The methodology is designed to determine the share of ‘fossil’ transactions on a cumulative basis, i.e., classifying the entire stock of commitments outstanding. </w:t>
            </w:r>
            <w:r w:rsidR="00070005">
              <w:rPr>
                <w:szCs w:val="24"/>
                <w:lang w:val="en-GB"/>
              </w:rPr>
              <w:t>R</w:t>
            </w:r>
            <w:r w:rsidR="007F1996">
              <w:rPr>
                <w:szCs w:val="24"/>
                <w:lang w:val="en-GB"/>
              </w:rPr>
              <w:t>eporting</w:t>
            </w:r>
            <w:r w:rsidR="00070005">
              <w:rPr>
                <w:szCs w:val="24"/>
                <w:lang w:val="en-GB"/>
              </w:rPr>
              <w:t xml:space="preserve"> according to this approach </w:t>
            </w:r>
            <w:r w:rsidR="00945427">
              <w:rPr>
                <w:szCs w:val="24"/>
                <w:lang w:val="en-GB"/>
              </w:rPr>
              <w:t xml:space="preserve">is ongoing </w:t>
            </w:r>
            <w:r w:rsidR="00070005">
              <w:rPr>
                <w:szCs w:val="24"/>
                <w:lang w:val="en-GB"/>
              </w:rPr>
              <w:t>since the year</w:t>
            </w:r>
            <w:r w:rsidR="0005206E">
              <w:rPr>
                <w:szCs w:val="24"/>
                <w:lang w:val="en-GB"/>
              </w:rPr>
              <w:t xml:space="preserve"> 2020.</w:t>
            </w:r>
          </w:p>
          <w:p w14:paraId="579A26EC" w14:textId="77777777" w:rsidR="00333452" w:rsidRPr="00936627" w:rsidRDefault="00B57A3E" w:rsidP="00070A29">
            <w:pPr>
              <w:pStyle w:val="Listenabsatz"/>
              <w:numPr>
                <w:ilvl w:val="1"/>
                <w:numId w:val="28"/>
              </w:numPr>
              <w:spacing w:after="0"/>
              <w:rPr>
                <w:rFonts w:cs="Arial"/>
                <w:lang w:val="en-GB"/>
              </w:rPr>
            </w:pPr>
            <w:r w:rsidRPr="00EC285E">
              <w:rPr>
                <w:b/>
                <w:i/>
                <w:szCs w:val="24"/>
                <w:lang w:val="en-GB"/>
              </w:rPr>
              <w:t>The ‘Green Label’</w:t>
            </w:r>
            <w:r w:rsidRPr="00EC285E">
              <w:rPr>
                <w:b/>
                <w:szCs w:val="24"/>
                <w:lang w:val="en-GB"/>
              </w:rPr>
              <w:t>:</w:t>
            </w:r>
            <w:r w:rsidRPr="00EC285E">
              <w:rPr>
                <w:szCs w:val="24"/>
                <w:lang w:val="en-GB"/>
              </w:rPr>
              <w:t xml:space="preserve"> </w:t>
            </w:r>
            <w:r w:rsidR="00862921">
              <w:rPr>
                <w:szCs w:val="24"/>
                <w:lang w:val="en-GB"/>
              </w:rPr>
              <w:t>Own</w:t>
            </w:r>
            <w:r w:rsidRPr="00EC285E">
              <w:rPr>
                <w:szCs w:val="24"/>
                <w:lang w:val="en-GB"/>
              </w:rPr>
              <w:t xml:space="preserve"> methodology to label transactions as ‘dark green’, ‘medium green’ and ‘light green’ if they contribute to climate mitigation, adaptation or ‘other footprint reduction’. The classification is carried out at the activity-level based on a list of projects distinguishing between the ‘shades of green’</w:t>
            </w:r>
            <w:r w:rsidRPr="00F736F9">
              <w:rPr>
                <w:rFonts w:cs="Arial"/>
                <w:szCs w:val="24"/>
                <w:lang w:val="en-GB"/>
              </w:rPr>
              <w:t xml:space="preserve"> </w:t>
            </w:r>
            <w:r w:rsidRPr="00EC285E">
              <w:rPr>
                <w:szCs w:val="24"/>
                <w:lang w:val="en-GB"/>
              </w:rPr>
              <w:t xml:space="preserve">derived from the CICERO’s approach to labelling Green Bonds. The methodology is designed to determine the share </w:t>
            </w:r>
            <w:r w:rsidRPr="00EC285E">
              <w:rPr>
                <w:szCs w:val="24"/>
                <w:lang w:val="en-GB"/>
              </w:rPr>
              <w:lastRenderedPageBreak/>
              <w:t xml:space="preserve">of ‘green’ transactions in a forward-looking way, i.e., classifying the inflow of new projects in a given year. </w:t>
            </w:r>
            <w:r w:rsidR="00AD4273" w:rsidRPr="00AD4273">
              <w:rPr>
                <w:szCs w:val="24"/>
                <w:lang w:val="en-GB"/>
              </w:rPr>
              <w:t>Reporting according to this approach is ongoing since the year 20</w:t>
            </w:r>
            <w:r w:rsidR="00AD4273">
              <w:rPr>
                <w:szCs w:val="24"/>
                <w:lang w:val="en-GB"/>
              </w:rPr>
              <w:t>19</w:t>
            </w:r>
            <w:r w:rsidR="00AD4273" w:rsidRPr="00AD4273">
              <w:rPr>
                <w:szCs w:val="24"/>
                <w:lang w:val="en-GB"/>
              </w:rPr>
              <w:t>.</w:t>
            </w:r>
          </w:p>
        </w:tc>
      </w:tr>
    </w:tbl>
    <w:p w14:paraId="154DF9E9" w14:textId="61C15C71" w:rsidR="00AB34E7" w:rsidRPr="008B7778" w:rsidRDefault="00F326A0" w:rsidP="00E117B5">
      <w:pPr>
        <w:rPr>
          <w:sz w:val="18"/>
          <w:szCs w:val="22"/>
          <w:u w:val="single"/>
          <w:lang w:val="en-GB"/>
        </w:rPr>
      </w:pPr>
      <w:r w:rsidRPr="008B7778">
        <w:rPr>
          <w:i/>
          <w:sz w:val="18"/>
          <w:szCs w:val="22"/>
          <w:u w:val="single"/>
          <w:lang w:val="en-GB"/>
        </w:rPr>
        <w:lastRenderedPageBreak/>
        <w:t>Note:</w:t>
      </w:r>
      <w:r w:rsidRPr="008B7778">
        <w:rPr>
          <w:i/>
          <w:sz w:val="18"/>
          <w:szCs w:val="22"/>
          <w:lang w:val="en-GB"/>
        </w:rPr>
        <w:t xml:space="preserve"> </w:t>
      </w:r>
      <w:r w:rsidRPr="008B7778">
        <w:rPr>
          <w:iCs/>
          <w:sz w:val="18"/>
          <w:szCs w:val="22"/>
          <w:lang w:val="en-GB"/>
        </w:rPr>
        <w:t>‘Commitment’ refers to a</w:t>
      </w:r>
      <w:r w:rsidR="0034398A" w:rsidRPr="008B7778">
        <w:rPr>
          <w:iCs/>
          <w:sz w:val="18"/>
          <w:szCs w:val="22"/>
          <w:lang w:val="en-GB"/>
        </w:rPr>
        <w:t>n</w:t>
      </w:r>
      <w:r w:rsidRPr="008B7778">
        <w:rPr>
          <w:iCs/>
          <w:sz w:val="18"/>
          <w:szCs w:val="22"/>
          <w:lang w:val="en-GB"/>
        </w:rPr>
        <w:t xml:space="preserve"> </w:t>
      </w:r>
      <w:r w:rsidR="0034398A" w:rsidRPr="008B7778">
        <w:rPr>
          <w:iCs/>
          <w:sz w:val="18"/>
          <w:szCs w:val="22"/>
          <w:lang w:val="en-GB"/>
        </w:rPr>
        <w:t xml:space="preserve">officially </w:t>
      </w:r>
      <w:r w:rsidRPr="008B7778">
        <w:rPr>
          <w:iCs/>
          <w:sz w:val="18"/>
          <w:szCs w:val="22"/>
          <w:lang w:val="en-GB"/>
        </w:rPr>
        <w:t xml:space="preserve">stated </w:t>
      </w:r>
      <w:r w:rsidR="0034398A" w:rsidRPr="008B7778">
        <w:rPr>
          <w:iCs/>
          <w:sz w:val="18"/>
          <w:szCs w:val="22"/>
          <w:lang w:val="en-GB"/>
        </w:rPr>
        <w:t>position which may or may not have been</w:t>
      </w:r>
      <w:r w:rsidRPr="008B7778">
        <w:rPr>
          <w:iCs/>
          <w:sz w:val="18"/>
          <w:szCs w:val="22"/>
          <w:lang w:val="en-GB"/>
        </w:rPr>
        <w:t xml:space="preserve"> formalized</w:t>
      </w:r>
      <w:r w:rsidR="0034398A" w:rsidRPr="008B7778">
        <w:rPr>
          <w:iCs/>
          <w:sz w:val="18"/>
          <w:szCs w:val="22"/>
          <w:lang w:val="en-GB"/>
        </w:rPr>
        <w:t xml:space="preserve"> in a policy document</w:t>
      </w:r>
      <w:r w:rsidRPr="008B7778">
        <w:rPr>
          <w:iCs/>
          <w:sz w:val="18"/>
          <w:szCs w:val="22"/>
          <w:lang w:val="en-GB"/>
        </w:rPr>
        <w:t>.</w:t>
      </w:r>
      <w:r w:rsidRPr="008B7778">
        <w:rPr>
          <w:iCs/>
          <w:sz w:val="18"/>
          <w:szCs w:val="22"/>
          <w:u w:val="single"/>
          <w:lang w:val="en-GB"/>
        </w:rPr>
        <w:t xml:space="preserve"> </w:t>
      </w:r>
    </w:p>
    <w:p w14:paraId="6B79289F" w14:textId="77777777" w:rsidR="00E03F67" w:rsidRPr="00FC1E5A" w:rsidRDefault="007B4DF9" w:rsidP="00E03F67">
      <w:pPr>
        <w:rPr>
          <w:rFonts w:cs="Arial"/>
          <w:lang w:val="en-GB"/>
        </w:rPr>
      </w:pPr>
      <w:r>
        <w:rPr>
          <w:rFonts w:cs="Arial"/>
          <w:lang w:val="en-GB"/>
        </w:rPr>
        <w:t>In summary, the Netherlands</w:t>
      </w:r>
      <w:r w:rsidR="00A829CB">
        <w:rPr>
          <w:rFonts w:cs="Arial"/>
          <w:lang w:val="en-GB"/>
        </w:rPr>
        <w:t>´</w:t>
      </w:r>
      <w:r>
        <w:rPr>
          <w:rFonts w:cs="Arial"/>
          <w:lang w:val="en-GB"/>
        </w:rPr>
        <w:t xml:space="preserve"> climate ambition in officially supported export finance</w:t>
      </w:r>
      <w:r w:rsidR="001C1792">
        <w:rPr>
          <w:rFonts w:cs="Arial"/>
          <w:lang w:val="en-GB"/>
        </w:rPr>
        <w:t xml:space="preserve"> </w:t>
      </w:r>
      <w:r w:rsidR="000A5D0D">
        <w:rPr>
          <w:rFonts w:cs="Arial"/>
          <w:lang w:val="en-GB"/>
        </w:rPr>
        <w:t xml:space="preserve">focusses on </w:t>
      </w:r>
      <w:r w:rsidR="002B3474">
        <w:rPr>
          <w:rFonts w:cs="Arial"/>
          <w:lang w:val="en-GB"/>
        </w:rPr>
        <w:t xml:space="preserve">better disclosure </w:t>
      </w:r>
      <w:r w:rsidR="00E36F17">
        <w:rPr>
          <w:rFonts w:cs="Arial"/>
          <w:lang w:val="en-GB"/>
        </w:rPr>
        <w:t xml:space="preserve">for </w:t>
      </w:r>
      <w:r>
        <w:rPr>
          <w:rFonts w:cs="Arial"/>
          <w:lang w:val="en-GB"/>
        </w:rPr>
        <w:t xml:space="preserve">both fossil-related </w:t>
      </w:r>
      <w:r w:rsidR="00E42006">
        <w:rPr>
          <w:rFonts w:cs="Arial"/>
          <w:lang w:val="en-GB"/>
        </w:rPr>
        <w:t xml:space="preserve">and ‘green’ </w:t>
      </w:r>
      <w:r w:rsidR="000B0C5D">
        <w:rPr>
          <w:rFonts w:cs="Arial"/>
          <w:lang w:val="en-GB"/>
        </w:rPr>
        <w:t>transactions</w:t>
      </w:r>
      <w:r w:rsidR="00F120BE">
        <w:rPr>
          <w:rFonts w:cs="Arial"/>
          <w:lang w:val="en-GB"/>
        </w:rPr>
        <w:t>.</w:t>
      </w:r>
      <w:r w:rsidR="00803CF4">
        <w:rPr>
          <w:rFonts w:cs="Arial"/>
          <w:lang w:val="en-GB"/>
        </w:rPr>
        <w:t xml:space="preserve"> </w:t>
      </w:r>
      <w:r w:rsidR="002E1F6E">
        <w:rPr>
          <w:rFonts w:cs="Arial"/>
          <w:lang w:val="en-GB"/>
        </w:rPr>
        <w:t xml:space="preserve"> Commitments for immediate phase out of support for fossil fuels lack formalization or are absent considering all types of fossil fuels. </w:t>
      </w:r>
      <w:r w:rsidR="00724196">
        <w:rPr>
          <w:rFonts w:cs="Arial"/>
          <w:lang w:val="en-GB"/>
        </w:rPr>
        <w:t>Moreover</w:t>
      </w:r>
      <w:r w:rsidR="000B0C5D">
        <w:rPr>
          <w:rFonts w:cs="Arial"/>
          <w:lang w:val="en-GB"/>
        </w:rPr>
        <w:t xml:space="preserve">, the different reporting </w:t>
      </w:r>
      <w:r w:rsidR="003E2AB9">
        <w:rPr>
          <w:rFonts w:cs="Arial"/>
          <w:lang w:val="en-GB"/>
        </w:rPr>
        <w:t>modalit</w:t>
      </w:r>
      <w:r w:rsidR="00F83BA5">
        <w:rPr>
          <w:rFonts w:cs="Arial"/>
          <w:lang w:val="en-GB"/>
        </w:rPr>
        <w:t>ies</w:t>
      </w:r>
      <w:r w:rsidR="003E2AB9">
        <w:rPr>
          <w:rFonts w:cs="Arial"/>
          <w:lang w:val="en-GB"/>
        </w:rPr>
        <w:t xml:space="preserve"> </w:t>
      </w:r>
      <w:r w:rsidR="00964274">
        <w:rPr>
          <w:rFonts w:cs="Arial"/>
          <w:lang w:val="en-GB"/>
        </w:rPr>
        <w:t xml:space="preserve">of </w:t>
      </w:r>
      <w:r w:rsidR="00C40CB4">
        <w:rPr>
          <w:rFonts w:cs="Arial"/>
          <w:lang w:val="en-GB"/>
        </w:rPr>
        <w:t>‘</w:t>
      </w:r>
      <w:r w:rsidR="00F83BA5">
        <w:rPr>
          <w:rFonts w:cs="Arial"/>
          <w:lang w:val="en-GB"/>
        </w:rPr>
        <w:t>fossil</w:t>
      </w:r>
      <w:r w:rsidR="00C40CB4">
        <w:rPr>
          <w:rFonts w:cs="Arial"/>
          <w:lang w:val="en-GB"/>
        </w:rPr>
        <w:t>’ and ‘</w:t>
      </w:r>
      <w:r w:rsidR="003A376D">
        <w:rPr>
          <w:rFonts w:cs="Arial"/>
          <w:lang w:val="en-GB"/>
        </w:rPr>
        <w:t>green</w:t>
      </w:r>
      <w:r w:rsidR="00C40CB4">
        <w:rPr>
          <w:rFonts w:cs="Arial"/>
          <w:lang w:val="en-GB"/>
        </w:rPr>
        <w:t xml:space="preserve">’ transactions </w:t>
      </w:r>
      <w:r w:rsidR="000B0C5D">
        <w:rPr>
          <w:rFonts w:cs="Arial"/>
          <w:lang w:val="en-GB"/>
        </w:rPr>
        <w:t xml:space="preserve">(stock vs. flow </w:t>
      </w:r>
      <w:r w:rsidR="00BB6CE4">
        <w:rPr>
          <w:rFonts w:cs="Arial"/>
          <w:lang w:val="en-GB"/>
        </w:rPr>
        <w:t>reporting</w:t>
      </w:r>
      <w:r w:rsidR="003A376D">
        <w:rPr>
          <w:rFonts w:cs="Arial"/>
          <w:lang w:val="en-GB"/>
        </w:rPr>
        <w:t>, respectively</w:t>
      </w:r>
      <w:r w:rsidR="000B0C5D">
        <w:rPr>
          <w:rFonts w:cs="Arial"/>
          <w:lang w:val="en-GB"/>
        </w:rPr>
        <w:t xml:space="preserve">) </w:t>
      </w:r>
      <w:r w:rsidR="002F6715">
        <w:rPr>
          <w:rFonts w:cs="Arial"/>
          <w:lang w:val="en-GB"/>
        </w:rPr>
        <w:t xml:space="preserve">currently </w:t>
      </w:r>
      <w:r w:rsidR="00EA65C5">
        <w:rPr>
          <w:rFonts w:cs="Arial"/>
          <w:lang w:val="en-GB"/>
        </w:rPr>
        <w:t xml:space="preserve">obstruct reasonable </w:t>
      </w:r>
      <w:r w:rsidR="00964274">
        <w:rPr>
          <w:rFonts w:cs="Arial"/>
          <w:lang w:val="en-GB"/>
        </w:rPr>
        <w:t>comparisons between the</w:t>
      </w:r>
      <w:r w:rsidR="007E355C">
        <w:rPr>
          <w:rFonts w:cs="Arial"/>
          <w:lang w:val="en-GB"/>
        </w:rPr>
        <w:t>ir respective shares</w:t>
      </w:r>
      <w:r w:rsidR="00964274">
        <w:rPr>
          <w:rFonts w:cs="Arial"/>
          <w:lang w:val="en-GB"/>
        </w:rPr>
        <w:t xml:space="preserve"> </w:t>
      </w:r>
      <w:r w:rsidR="007E355C">
        <w:rPr>
          <w:rFonts w:cs="Arial"/>
          <w:lang w:val="en-GB"/>
        </w:rPr>
        <w:t>of the total portfolio</w:t>
      </w:r>
      <w:r w:rsidR="00964274">
        <w:rPr>
          <w:rFonts w:cs="Arial"/>
          <w:lang w:val="en-GB"/>
        </w:rPr>
        <w:t xml:space="preserve">. </w:t>
      </w:r>
      <w:r w:rsidR="0011594F">
        <w:rPr>
          <w:rFonts w:cs="Arial"/>
          <w:lang w:val="en-GB"/>
        </w:rPr>
        <w:t>Overall</w:t>
      </w:r>
      <w:r w:rsidR="00677BE7">
        <w:rPr>
          <w:rFonts w:cs="Arial"/>
          <w:lang w:val="en-GB"/>
        </w:rPr>
        <w:t>,</w:t>
      </w:r>
      <w:r w:rsidR="0011594F">
        <w:rPr>
          <w:rFonts w:cs="Arial"/>
          <w:lang w:val="en-GB"/>
        </w:rPr>
        <w:t xml:space="preserve"> the following assessment highlights that</w:t>
      </w:r>
      <w:r w:rsidR="00C36B46">
        <w:rPr>
          <w:rFonts w:cs="Arial"/>
          <w:lang w:val="en-GB"/>
        </w:rPr>
        <w:t xml:space="preserve"> above</w:t>
      </w:r>
      <w:r w:rsidR="008B1A13">
        <w:rPr>
          <w:rFonts w:cs="Arial"/>
          <w:lang w:val="en-GB"/>
        </w:rPr>
        <w:t xml:space="preserve"> improved</w:t>
      </w:r>
      <w:r w:rsidR="00C36B46">
        <w:rPr>
          <w:rFonts w:cs="Arial"/>
          <w:lang w:val="en-GB"/>
        </w:rPr>
        <w:t xml:space="preserve"> </w:t>
      </w:r>
      <w:r w:rsidR="00A63B3E">
        <w:rPr>
          <w:rFonts w:cs="Arial"/>
          <w:lang w:val="en-GB"/>
        </w:rPr>
        <w:t>transparency</w:t>
      </w:r>
      <w:r w:rsidR="000357BF">
        <w:rPr>
          <w:rFonts w:cs="Arial"/>
          <w:lang w:val="en-GB"/>
        </w:rPr>
        <w:t xml:space="preserve"> and among other important steps</w:t>
      </w:r>
      <w:r w:rsidR="00A63B3E">
        <w:rPr>
          <w:rFonts w:cs="Arial"/>
          <w:lang w:val="en-GB"/>
        </w:rPr>
        <w:t>,</w:t>
      </w:r>
      <w:r w:rsidR="00677BE7">
        <w:rPr>
          <w:rFonts w:cs="Arial"/>
          <w:lang w:val="en-GB"/>
        </w:rPr>
        <w:t xml:space="preserve"> c</w:t>
      </w:r>
      <w:r w:rsidR="00383192">
        <w:rPr>
          <w:rFonts w:cs="Arial"/>
          <w:lang w:val="en-GB"/>
        </w:rPr>
        <w:t xml:space="preserve">oncrete timelines of phasing out support </w:t>
      </w:r>
      <w:r w:rsidR="00134E17">
        <w:rPr>
          <w:rFonts w:cs="Arial"/>
          <w:lang w:val="en-GB"/>
        </w:rPr>
        <w:t>for</w:t>
      </w:r>
      <w:r w:rsidR="00677BE7">
        <w:rPr>
          <w:rFonts w:cs="Arial"/>
          <w:lang w:val="en-GB"/>
        </w:rPr>
        <w:t xml:space="preserve"> </w:t>
      </w:r>
      <w:r w:rsidR="00E42006">
        <w:rPr>
          <w:rFonts w:cs="Arial"/>
          <w:lang w:val="en-GB"/>
        </w:rPr>
        <w:t xml:space="preserve">all </w:t>
      </w:r>
      <w:r w:rsidR="00677BE7">
        <w:rPr>
          <w:rFonts w:cs="Arial"/>
          <w:lang w:val="en-GB"/>
        </w:rPr>
        <w:t xml:space="preserve">fossil fuel-related </w:t>
      </w:r>
      <w:r w:rsidR="00E70F2B">
        <w:rPr>
          <w:rFonts w:cs="Arial"/>
          <w:lang w:val="en-GB"/>
        </w:rPr>
        <w:t>activities</w:t>
      </w:r>
      <w:r w:rsidR="00677BE7">
        <w:rPr>
          <w:rFonts w:cs="Arial"/>
          <w:lang w:val="en-GB"/>
        </w:rPr>
        <w:t xml:space="preserve"> </w:t>
      </w:r>
      <w:r w:rsidR="0024730D">
        <w:rPr>
          <w:rFonts w:cs="Arial"/>
          <w:lang w:val="en-GB"/>
        </w:rPr>
        <w:t>are now needed to</w:t>
      </w:r>
      <w:r w:rsidR="00F0073E">
        <w:rPr>
          <w:rFonts w:cs="Arial"/>
          <w:lang w:val="en-GB"/>
        </w:rPr>
        <w:t xml:space="preserve"> align</w:t>
      </w:r>
      <w:r w:rsidR="003551AC">
        <w:rPr>
          <w:rFonts w:cs="Arial"/>
          <w:lang w:val="en-GB"/>
        </w:rPr>
        <w:t xml:space="preserve"> officially supported Dutch export finance </w:t>
      </w:r>
      <w:r w:rsidR="00CA0CEA">
        <w:rPr>
          <w:rFonts w:cs="Arial"/>
          <w:lang w:val="en-GB"/>
        </w:rPr>
        <w:t>with the</w:t>
      </w:r>
      <w:r w:rsidR="00E64788">
        <w:rPr>
          <w:rFonts w:cs="Arial"/>
          <w:lang w:val="en-GB"/>
        </w:rPr>
        <w:t xml:space="preserve"> objectives of the</w:t>
      </w:r>
      <w:r w:rsidR="00CA0CEA">
        <w:rPr>
          <w:rFonts w:cs="Arial"/>
          <w:lang w:val="en-GB"/>
        </w:rPr>
        <w:t xml:space="preserve"> Paris Agreement</w:t>
      </w:r>
      <w:r w:rsidR="00471586">
        <w:rPr>
          <w:rFonts w:cs="Arial"/>
          <w:lang w:val="en-GB"/>
        </w:rPr>
        <w:t>.</w:t>
      </w:r>
    </w:p>
    <w:p w14:paraId="221858D2" w14:textId="77777777" w:rsidR="001274B2" w:rsidRPr="00FC1E5A" w:rsidRDefault="002F793B" w:rsidP="00493C62">
      <w:pPr>
        <w:pStyle w:val="berschrift1"/>
        <w:spacing w:before="120"/>
        <w:ind w:left="357" w:hanging="357"/>
        <w:rPr>
          <w:rFonts w:ascii="Arial" w:hAnsi="Arial"/>
        </w:rPr>
      </w:pPr>
      <w:bookmarkStart w:id="11" w:name="_Toc84520027"/>
      <w:r w:rsidRPr="00FC1E5A">
        <w:rPr>
          <w:rFonts w:ascii="Arial" w:hAnsi="Arial"/>
        </w:rPr>
        <w:t xml:space="preserve">Assessment of </w:t>
      </w:r>
      <w:r w:rsidR="00C22066" w:rsidRPr="00FC1E5A">
        <w:rPr>
          <w:rFonts w:ascii="Arial" w:hAnsi="Arial"/>
        </w:rPr>
        <w:t>Atradius DSB</w:t>
      </w:r>
      <w:r w:rsidR="00AB0D70">
        <w:rPr>
          <w:rFonts w:ascii="Arial" w:hAnsi="Arial"/>
        </w:rPr>
        <w:t>´s alignment with the Paris Agreement</w:t>
      </w:r>
      <w:bookmarkEnd w:id="11"/>
    </w:p>
    <w:p w14:paraId="1B1429E9" w14:textId="7CCD190F" w:rsidR="0075254D" w:rsidRDefault="005F6727" w:rsidP="005103D9">
      <w:pPr>
        <w:spacing w:before="120" w:after="120"/>
        <w:rPr>
          <w:rFonts w:cs="Arial"/>
          <w:lang w:val="en-GB"/>
        </w:rPr>
      </w:pPr>
      <w:r w:rsidRPr="00947020">
        <w:t xml:space="preserve">We assess </w:t>
      </w:r>
      <w:r w:rsidR="00A70C31" w:rsidRPr="00947020">
        <w:t>the ‘Paris alignment’ of Atradius DSB</w:t>
      </w:r>
      <w:r w:rsidR="00254F88">
        <w:rPr>
          <w:rStyle w:val="Funotenzeichen"/>
        </w:rPr>
        <w:footnoteReference w:id="9"/>
      </w:r>
      <w:r w:rsidRPr="00947020">
        <w:t xml:space="preserve"> based on a methodology </w:t>
      </w:r>
      <w:r w:rsidR="00A70C31" w:rsidRPr="00947020">
        <w:t>specifically developed to evaluate the alignment of ECAs with the Paris Agreement (</w:t>
      </w:r>
      <w:r w:rsidR="002A4D88" w:rsidRPr="00947020">
        <w:t>Shishlov et al. 2021).</w:t>
      </w:r>
      <w:r w:rsidR="00630450" w:rsidRPr="00947020">
        <w:t xml:space="preserve"> This </w:t>
      </w:r>
      <w:r w:rsidR="00E42006">
        <w:t>methodology</w:t>
      </w:r>
      <w:r w:rsidR="00E42006" w:rsidRPr="00947020">
        <w:t xml:space="preserve"> </w:t>
      </w:r>
      <w:r w:rsidR="001274B2" w:rsidRPr="00947020">
        <w:t xml:space="preserve">conceptually and practically builds on existing </w:t>
      </w:r>
      <w:r w:rsidR="003F33B5">
        <w:t>approaches to ‘</w:t>
      </w:r>
      <w:r w:rsidR="001274B2" w:rsidRPr="00947020">
        <w:t>Paris alignment</w:t>
      </w:r>
      <w:r w:rsidR="003F33B5">
        <w:t>’ developed for</w:t>
      </w:r>
      <w:r w:rsidR="001274B2" w:rsidRPr="00947020">
        <w:t xml:space="preserve"> other financial institutions</w:t>
      </w:r>
      <w:r w:rsidR="003F33B5">
        <w:t xml:space="preserve">, such as </w:t>
      </w:r>
      <w:r w:rsidR="003F33B5" w:rsidRPr="00947020">
        <w:t>multilateral development banks (MDBs)</w:t>
      </w:r>
      <w:r w:rsidR="001274B2" w:rsidRPr="00947020">
        <w:t xml:space="preserve">. Most notably, </w:t>
      </w:r>
      <w:r w:rsidR="001243A3" w:rsidRPr="00947020">
        <w:t>this includes</w:t>
      </w:r>
      <w:r w:rsidR="001274B2" w:rsidRPr="00947020">
        <w:t xml:space="preserve"> the structure and rationale of the Public Development Banks</w:t>
      </w:r>
      <w:r w:rsidR="0002138D" w:rsidRPr="00947020">
        <w:t>’</w:t>
      </w:r>
      <w:r w:rsidR="001274B2" w:rsidRPr="00947020">
        <w:t xml:space="preserve"> Climate Tracker Matrix</w:t>
      </w:r>
      <w:r w:rsidR="00311F2C" w:rsidRPr="00947020">
        <w:t xml:space="preserve"> </w:t>
      </w:r>
      <w:r w:rsidR="001274B2" w:rsidRPr="00947020">
        <w:t>by environmental think</w:t>
      </w:r>
      <w:r w:rsidR="0031657F">
        <w:t xml:space="preserve"> </w:t>
      </w:r>
      <w:r w:rsidR="001274B2" w:rsidRPr="00947020">
        <w:t>tank E3G</w:t>
      </w:r>
      <w:r w:rsidR="00AF6FE1" w:rsidRPr="00947020">
        <w:t>,</w:t>
      </w:r>
      <w:r w:rsidR="001274B2" w:rsidRPr="00947020">
        <w:t xml:space="preserve"> which, in turn, </w:t>
      </w:r>
      <w:r w:rsidR="00D64714" w:rsidRPr="00947020">
        <w:t xml:space="preserve">is based </w:t>
      </w:r>
      <w:r w:rsidR="001274B2" w:rsidRPr="00947020">
        <w:t xml:space="preserve">on the six building blocks of the Paris Alignment Working Group (PAWG) by major </w:t>
      </w:r>
      <w:r w:rsidR="003F33B5">
        <w:t xml:space="preserve">MDBs. </w:t>
      </w:r>
      <w:r w:rsidR="00486CD5" w:rsidRPr="00947020">
        <w:t xml:space="preserve">The assessment of ECAs differs notably from these two approaches since it </w:t>
      </w:r>
      <w:r w:rsidR="00715E01">
        <w:t xml:space="preserve">transparently </w:t>
      </w:r>
      <w:r w:rsidR="00486CD5" w:rsidRPr="00947020">
        <w:t>underpins each assessment dimension</w:t>
      </w:r>
      <w:r w:rsidR="00AC0FC8" w:rsidRPr="00947020">
        <w:t xml:space="preserve"> (</w:t>
      </w:r>
      <w:r w:rsidR="00101B8E">
        <w:t>h</w:t>
      </w:r>
      <w:r w:rsidR="000E7BD4">
        <w:t>ereafter referred to as ‘dimensions’</w:t>
      </w:r>
      <w:r w:rsidR="00AC0FC8" w:rsidRPr="00947020">
        <w:t>)</w:t>
      </w:r>
      <w:r w:rsidR="00486CD5" w:rsidRPr="00947020">
        <w:t xml:space="preserve"> with specific key questions (3-5 questions per dimension</w:t>
      </w:r>
      <w:r w:rsidR="00BA36A2" w:rsidRPr="00947020">
        <w:t>, in total 18 questions</w:t>
      </w:r>
      <w:r w:rsidR="00486CD5" w:rsidRPr="00947020">
        <w:t>) as well as specific benchmarks</w:t>
      </w:r>
      <w:r w:rsidR="000511AD" w:rsidRPr="00947020">
        <w:t xml:space="preserve"> (four benchmarks per question</w:t>
      </w:r>
      <w:r w:rsidR="00BA36A2" w:rsidRPr="00947020">
        <w:t>, in total 72 benchmarks</w:t>
      </w:r>
      <w:r w:rsidR="000511AD" w:rsidRPr="00947020">
        <w:t>).</w:t>
      </w:r>
      <w:r w:rsidR="003878F2" w:rsidRPr="00947020">
        <w:t xml:space="preserve"> </w:t>
      </w:r>
      <w:r w:rsidR="002F6E44" w:rsidRPr="00947020">
        <w:t xml:space="preserve">The four benchmarks </w:t>
      </w:r>
      <w:r w:rsidR="002F6E44">
        <w:rPr>
          <w:rFonts w:cs="Arial"/>
          <w:lang w:val="en-GB"/>
        </w:rPr>
        <w:t xml:space="preserve">correspond to four </w:t>
      </w:r>
      <w:r w:rsidR="001274B2" w:rsidRPr="00FC1E5A">
        <w:rPr>
          <w:rFonts w:cs="Arial"/>
          <w:lang w:val="en-GB"/>
        </w:rPr>
        <w:t>labels of Paris alignment</w:t>
      </w:r>
      <w:r w:rsidR="00A712D4">
        <w:rPr>
          <w:rFonts w:cs="Arial"/>
          <w:lang w:val="en-GB"/>
        </w:rPr>
        <w:t xml:space="preserve"> </w:t>
      </w:r>
      <w:r w:rsidR="00206A96">
        <w:rPr>
          <w:rFonts w:cs="Arial"/>
          <w:lang w:val="en-GB"/>
        </w:rPr>
        <w:t>(</w:t>
      </w:r>
      <w:r w:rsidR="00BD5314" w:rsidRPr="00206A96">
        <w:rPr>
          <w:rFonts w:cs="Arial"/>
          <w:lang w:val="en-GB"/>
        </w:rPr>
        <w:fldChar w:fldCharType="begin"/>
      </w:r>
      <w:r w:rsidR="00BD5314" w:rsidRPr="00206A96">
        <w:rPr>
          <w:rFonts w:cs="Arial"/>
          <w:lang w:val="en-GB"/>
        </w:rPr>
        <w:instrText xml:space="preserve"> REF _Ref81394661 \h </w:instrText>
      </w:r>
      <w:r w:rsidR="00206A96" w:rsidRPr="00206A96">
        <w:rPr>
          <w:rFonts w:cs="Arial"/>
          <w:lang w:val="en-GB"/>
        </w:rPr>
        <w:instrText xml:space="preserve"> \* MERGEFORMAT </w:instrText>
      </w:r>
      <w:r w:rsidR="00BD5314" w:rsidRPr="00206A96">
        <w:rPr>
          <w:rFonts w:cs="Arial"/>
          <w:lang w:val="en-GB"/>
        </w:rPr>
      </w:r>
      <w:r w:rsidR="00BD5314" w:rsidRPr="00206A96">
        <w:rPr>
          <w:rFonts w:cs="Arial"/>
          <w:lang w:val="en-GB"/>
        </w:rPr>
        <w:fldChar w:fldCharType="separate"/>
      </w:r>
      <w:r w:rsidR="00BD5314" w:rsidRPr="00206A96">
        <w:t xml:space="preserve">Figure </w:t>
      </w:r>
      <w:r w:rsidR="00BD5314" w:rsidRPr="00206A96">
        <w:rPr>
          <w:noProof/>
        </w:rPr>
        <w:t>1</w:t>
      </w:r>
      <w:r w:rsidR="00BD5314" w:rsidRPr="00206A96">
        <w:rPr>
          <w:rFonts w:cs="Arial"/>
          <w:lang w:val="en-GB"/>
        </w:rPr>
        <w:fldChar w:fldCharType="end"/>
      </w:r>
      <w:r w:rsidR="00206A96">
        <w:rPr>
          <w:rFonts w:cs="Arial"/>
          <w:lang w:val="en-GB"/>
        </w:rPr>
        <w:t>)</w:t>
      </w:r>
      <w:r w:rsidR="00343F8F">
        <w:rPr>
          <w:rFonts w:cs="Arial"/>
          <w:lang w:val="en-GB"/>
        </w:rPr>
        <w:t xml:space="preserve">. </w:t>
      </w:r>
    </w:p>
    <w:p w14:paraId="6F989D45" w14:textId="77777777" w:rsidR="0075254D" w:rsidRPr="00EC285E" w:rsidRDefault="0075254D" w:rsidP="00070A29">
      <w:pPr>
        <w:pStyle w:val="Beschriftung"/>
        <w:spacing w:after="0"/>
        <w:rPr>
          <w:rFonts w:cs="Times New Roman"/>
          <w:noProof/>
          <w:sz w:val="24"/>
          <w:szCs w:val="24"/>
          <w:lang w:val="en-US"/>
        </w:rPr>
      </w:pPr>
      <w:r w:rsidRPr="00EC285E">
        <w:rPr>
          <w:sz w:val="20"/>
          <w:szCs w:val="20"/>
        </w:rPr>
        <w:t xml:space="preserve">Figure </w:t>
      </w:r>
      <w:r w:rsidRPr="00EC285E">
        <w:rPr>
          <w:sz w:val="20"/>
          <w:szCs w:val="20"/>
        </w:rPr>
        <w:fldChar w:fldCharType="begin"/>
      </w:r>
      <w:r w:rsidRPr="00EC285E">
        <w:rPr>
          <w:sz w:val="20"/>
          <w:szCs w:val="20"/>
        </w:rPr>
        <w:instrText xml:space="preserve"> SEQ Figure \* ARABIC </w:instrText>
      </w:r>
      <w:r w:rsidRPr="00EC285E">
        <w:rPr>
          <w:sz w:val="20"/>
          <w:szCs w:val="20"/>
        </w:rPr>
        <w:fldChar w:fldCharType="separate"/>
      </w:r>
      <w:r w:rsidRPr="00EC285E">
        <w:rPr>
          <w:noProof/>
          <w:sz w:val="20"/>
          <w:szCs w:val="20"/>
        </w:rPr>
        <w:t>1</w:t>
      </w:r>
      <w:r w:rsidRPr="00EC285E">
        <w:rPr>
          <w:sz w:val="20"/>
          <w:szCs w:val="20"/>
        </w:rPr>
        <w:fldChar w:fldCharType="end"/>
      </w:r>
      <w:r w:rsidRPr="00EC285E">
        <w:rPr>
          <w:sz w:val="20"/>
          <w:szCs w:val="20"/>
        </w:rPr>
        <w:t>: Labels of Paris alignment and corresponding score ranges.</w:t>
      </w:r>
    </w:p>
    <w:p w14:paraId="4CD640CC" w14:textId="77777777" w:rsidR="0075254D" w:rsidRDefault="00FE4451" w:rsidP="005103D9">
      <w:pPr>
        <w:spacing w:before="120" w:after="120"/>
        <w:rPr>
          <w:rFonts w:cs="Arial"/>
          <w:lang w:val="en-GB"/>
        </w:rPr>
      </w:pPr>
      <w:r>
        <w:rPr>
          <w:noProof/>
          <w:lang w:val="nl-NL" w:eastAsia="nl-NL"/>
        </w:rPr>
        <w:drawing>
          <wp:inline distT="0" distB="0" distL="0" distR="0" wp14:anchorId="2C633CB8" wp14:editId="761D2965">
            <wp:extent cx="3850310" cy="1026494"/>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8567"/>
                    <a:stretch/>
                  </pic:blipFill>
                  <pic:spPr bwMode="auto">
                    <a:xfrm>
                      <a:off x="0" y="0"/>
                      <a:ext cx="3909572" cy="1042293"/>
                    </a:xfrm>
                    <a:prstGeom prst="rect">
                      <a:avLst/>
                    </a:prstGeom>
                    <a:ln>
                      <a:noFill/>
                    </a:ln>
                    <a:extLst>
                      <a:ext uri="{53640926-AAD7-44D8-BBD7-CCE9431645EC}">
                        <a14:shadowObscured xmlns:a14="http://schemas.microsoft.com/office/drawing/2010/main"/>
                      </a:ext>
                    </a:extLst>
                  </pic:spPr>
                </pic:pic>
              </a:graphicData>
            </a:graphic>
          </wp:inline>
        </w:drawing>
      </w:r>
    </w:p>
    <w:p w14:paraId="5280BF21" w14:textId="50C28457" w:rsidR="005103D9" w:rsidRDefault="00CC1CB5" w:rsidP="005103D9">
      <w:pPr>
        <w:spacing w:before="120" w:after="120"/>
        <w:rPr>
          <w:rFonts w:cs="Arial"/>
          <w:lang w:val="en-GB"/>
        </w:rPr>
      </w:pPr>
      <w:r>
        <w:rPr>
          <w:rFonts w:cs="Arial"/>
          <w:lang w:val="en-GB"/>
        </w:rPr>
        <w:t>Moreover, the methodology differs</w:t>
      </w:r>
      <w:r w:rsidR="00B125F6">
        <w:rPr>
          <w:rFonts w:cs="Arial"/>
          <w:lang w:val="en-GB"/>
        </w:rPr>
        <w:t xml:space="preserve"> from other approaches</w:t>
      </w:r>
      <w:r>
        <w:rPr>
          <w:rFonts w:cs="Arial"/>
          <w:lang w:val="en-GB"/>
        </w:rPr>
        <w:t xml:space="preserve"> since it applies</w:t>
      </w:r>
      <w:r w:rsidR="001C4842">
        <w:rPr>
          <w:rFonts w:cs="Arial"/>
          <w:lang w:val="en-GB"/>
        </w:rPr>
        <w:t xml:space="preserve"> a</w:t>
      </w:r>
      <w:r>
        <w:rPr>
          <w:rFonts w:cs="Arial"/>
          <w:lang w:val="en-GB"/>
        </w:rPr>
        <w:t xml:space="preserve"> weighting</w:t>
      </w:r>
      <w:r w:rsidR="001C4842">
        <w:rPr>
          <w:rFonts w:cs="Arial"/>
          <w:lang w:val="en-GB"/>
        </w:rPr>
        <w:t xml:space="preserve"> approach</w:t>
      </w:r>
      <w:r>
        <w:rPr>
          <w:rFonts w:cs="Arial"/>
          <w:lang w:val="en-GB"/>
        </w:rPr>
        <w:t xml:space="preserve"> to the </w:t>
      </w:r>
      <w:r w:rsidR="001C4842">
        <w:rPr>
          <w:rFonts w:cs="Arial"/>
          <w:lang w:val="en-GB"/>
        </w:rPr>
        <w:t>assessment dimensions</w:t>
      </w:r>
      <w:r>
        <w:rPr>
          <w:rFonts w:cs="Arial"/>
          <w:lang w:val="en-GB"/>
        </w:rPr>
        <w:t xml:space="preserve">. This permits to emphasize some </w:t>
      </w:r>
      <w:r w:rsidR="00346DD1">
        <w:rPr>
          <w:rFonts w:cs="Arial"/>
          <w:lang w:val="en-GB"/>
        </w:rPr>
        <w:t xml:space="preserve">dimensions </w:t>
      </w:r>
      <w:r>
        <w:rPr>
          <w:rFonts w:cs="Arial"/>
          <w:lang w:val="en-GB"/>
        </w:rPr>
        <w:t>over others</w:t>
      </w:r>
      <w:r w:rsidR="006B31F3">
        <w:rPr>
          <w:rFonts w:cs="Arial"/>
          <w:lang w:val="en-GB"/>
        </w:rPr>
        <w:t xml:space="preserve"> which</w:t>
      </w:r>
      <w:r w:rsidR="00E03C83">
        <w:rPr>
          <w:rFonts w:cs="Arial"/>
          <w:lang w:val="en-GB"/>
        </w:rPr>
        <w:t xml:space="preserve"> is based on the rationale that</w:t>
      </w:r>
      <w:r w:rsidR="00BC1871">
        <w:rPr>
          <w:rFonts w:cs="Arial"/>
          <w:lang w:val="en-GB"/>
        </w:rPr>
        <w:t xml:space="preserve"> some dimensions are</w:t>
      </w:r>
      <w:r w:rsidR="00E03C83">
        <w:rPr>
          <w:rFonts w:cs="Arial"/>
          <w:lang w:val="en-GB"/>
        </w:rPr>
        <w:t xml:space="preserve"> </w:t>
      </w:r>
      <w:r w:rsidR="00346516">
        <w:rPr>
          <w:rFonts w:cs="Arial"/>
          <w:lang w:val="en-GB"/>
        </w:rPr>
        <w:t xml:space="preserve">more immanently </w:t>
      </w:r>
      <w:r w:rsidR="00BC1871">
        <w:rPr>
          <w:rFonts w:cs="Arial"/>
          <w:lang w:val="en-GB"/>
        </w:rPr>
        <w:t xml:space="preserve">important </w:t>
      </w:r>
      <w:r w:rsidR="00346516">
        <w:rPr>
          <w:rFonts w:cs="Arial"/>
          <w:lang w:val="en-GB"/>
        </w:rPr>
        <w:t>to reaching the Paris climate goals</w:t>
      </w:r>
      <w:r w:rsidR="00BC1871">
        <w:rPr>
          <w:rFonts w:cs="Arial"/>
          <w:lang w:val="en-GB"/>
        </w:rPr>
        <w:t xml:space="preserve"> (e.g., mitigation </w:t>
      </w:r>
      <w:r w:rsidR="00CE4ED4">
        <w:rPr>
          <w:rFonts w:cs="Arial"/>
          <w:lang w:val="en-GB"/>
        </w:rPr>
        <w:t>vs</w:t>
      </w:r>
      <w:r w:rsidR="00346516">
        <w:rPr>
          <w:rFonts w:cs="Arial"/>
          <w:lang w:val="en-GB"/>
        </w:rPr>
        <w:t xml:space="preserve"> disclosure</w:t>
      </w:r>
      <w:r w:rsidR="00BC1871">
        <w:rPr>
          <w:rFonts w:cs="Arial"/>
          <w:lang w:val="en-GB"/>
        </w:rPr>
        <w:t>)</w:t>
      </w:r>
      <w:r w:rsidR="00346516">
        <w:rPr>
          <w:rFonts w:cs="Arial"/>
          <w:lang w:val="en-GB"/>
        </w:rPr>
        <w:t>.</w:t>
      </w:r>
      <w:r w:rsidR="006D2A4A">
        <w:rPr>
          <w:rFonts w:cs="Arial"/>
          <w:lang w:val="en-GB"/>
        </w:rPr>
        <w:t xml:space="preserve"> </w:t>
      </w:r>
      <w:r w:rsidR="006D2A4A" w:rsidRPr="006D2A4A">
        <w:rPr>
          <w:rFonts w:cs="Arial"/>
          <w:lang w:val="en-GB"/>
        </w:rPr>
        <w:t xml:space="preserve">The selection of weights reflects a careful consideration of priorities and </w:t>
      </w:r>
      <w:r w:rsidR="006D2A4A" w:rsidRPr="006D2A4A">
        <w:rPr>
          <w:rFonts w:cs="Arial"/>
          <w:lang w:val="en-GB"/>
        </w:rPr>
        <w:lastRenderedPageBreak/>
        <w:t xml:space="preserve">is based on the expertise of more than a dozen experts from </w:t>
      </w:r>
      <w:r w:rsidR="000046CC">
        <w:rPr>
          <w:rFonts w:cs="Arial"/>
          <w:lang w:val="en-GB"/>
        </w:rPr>
        <w:t xml:space="preserve">research and </w:t>
      </w:r>
      <w:r w:rsidR="006D2A4A" w:rsidRPr="006D2A4A">
        <w:rPr>
          <w:rFonts w:cs="Arial"/>
          <w:lang w:val="en-GB"/>
        </w:rPr>
        <w:t>civil society organizations.</w:t>
      </w:r>
      <w:r w:rsidR="006D2A4A">
        <w:rPr>
          <w:rFonts w:cs="Arial"/>
          <w:lang w:val="en-GB"/>
        </w:rPr>
        <w:t xml:space="preserve"> </w:t>
      </w:r>
      <w:r w:rsidR="00C33F4C">
        <w:rPr>
          <w:rFonts w:cs="Arial"/>
          <w:lang w:val="en-GB"/>
        </w:rPr>
        <w:t xml:space="preserve">The final </w:t>
      </w:r>
      <w:r w:rsidR="00096761">
        <w:rPr>
          <w:rFonts w:cs="Arial"/>
          <w:lang w:val="en-GB"/>
        </w:rPr>
        <w:t>scoring</w:t>
      </w:r>
      <w:r w:rsidR="00C33F4C">
        <w:rPr>
          <w:rFonts w:cs="Arial"/>
          <w:lang w:val="en-GB"/>
        </w:rPr>
        <w:t xml:space="preserve"> is </w:t>
      </w:r>
      <w:r w:rsidR="001274B2" w:rsidRPr="00FC1E5A">
        <w:rPr>
          <w:rFonts w:cs="Arial"/>
          <w:lang w:val="en-GB"/>
        </w:rPr>
        <w:t xml:space="preserve">carried out by evidence-based expert judgement. </w:t>
      </w:r>
      <w:r w:rsidR="00096761">
        <w:rPr>
          <w:rFonts w:cs="Arial"/>
          <w:b/>
          <w:bCs/>
          <w:lang w:val="en-GB"/>
        </w:rPr>
        <w:t xml:space="preserve">Atradius DSB </w:t>
      </w:r>
      <w:r w:rsidR="00DB1842" w:rsidRPr="00FC1E5A">
        <w:rPr>
          <w:rFonts w:cs="Arial"/>
          <w:b/>
          <w:bCs/>
          <w:lang w:val="en-GB"/>
        </w:rPr>
        <w:t>received an overall assessment score of 0.</w:t>
      </w:r>
      <w:r w:rsidR="00CF0C7C">
        <w:rPr>
          <w:rFonts w:cs="Arial"/>
          <w:b/>
          <w:bCs/>
          <w:lang w:val="en-GB"/>
        </w:rPr>
        <w:t>46</w:t>
      </w:r>
      <w:r w:rsidR="00DD6F25" w:rsidRPr="00FC1E5A">
        <w:rPr>
          <w:rFonts w:cs="Arial"/>
          <w:b/>
          <w:bCs/>
          <w:lang w:val="en-GB"/>
        </w:rPr>
        <w:t xml:space="preserve"> </w:t>
      </w:r>
      <w:r w:rsidR="00DB1842" w:rsidRPr="00FC1E5A">
        <w:rPr>
          <w:rFonts w:cs="Arial"/>
          <w:b/>
          <w:bCs/>
          <w:lang w:val="en-GB"/>
        </w:rPr>
        <w:t>out of 3.00 and</w:t>
      </w:r>
      <w:r w:rsidR="003F0BF7">
        <w:rPr>
          <w:rFonts w:cs="Arial"/>
          <w:b/>
          <w:bCs/>
          <w:lang w:val="en-GB"/>
        </w:rPr>
        <w:t xml:space="preserve"> </w:t>
      </w:r>
      <w:r w:rsidR="00DB1842" w:rsidRPr="00FC1E5A">
        <w:rPr>
          <w:rFonts w:cs="Arial"/>
          <w:b/>
          <w:bCs/>
          <w:lang w:val="en-GB"/>
        </w:rPr>
        <w:t>therefore</w:t>
      </w:r>
      <w:r w:rsidR="00AF64B8" w:rsidRPr="00FC1E5A">
        <w:rPr>
          <w:rFonts w:cs="Arial"/>
          <w:b/>
          <w:bCs/>
          <w:lang w:val="en-GB"/>
        </w:rPr>
        <w:t xml:space="preserve"> </w:t>
      </w:r>
      <w:r w:rsidR="00CF0C7C">
        <w:rPr>
          <w:rFonts w:cs="Arial"/>
          <w:b/>
          <w:bCs/>
          <w:lang w:val="en-GB"/>
        </w:rPr>
        <w:t xml:space="preserve">received </w:t>
      </w:r>
      <w:r w:rsidR="00C77A51">
        <w:rPr>
          <w:rFonts w:cs="Arial"/>
          <w:b/>
          <w:bCs/>
          <w:lang w:val="en-GB"/>
        </w:rPr>
        <w:t xml:space="preserve">the </w:t>
      </w:r>
      <w:r w:rsidR="00257371">
        <w:rPr>
          <w:rFonts w:cs="Arial"/>
          <w:b/>
          <w:bCs/>
          <w:lang w:val="en-GB"/>
        </w:rPr>
        <w:t>label</w:t>
      </w:r>
      <w:r w:rsidR="001274B2" w:rsidRPr="00FC1E5A">
        <w:rPr>
          <w:rFonts w:cs="Arial"/>
          <w:b/>
          <w:bCs/>
          <w:lang w:val="en-GB"/>
        </w:rPr>
        <w:t xml:space="preserve"> </w:t>
      </w:r>
      <w:r w:rsidR="00147109" w:rsidRPr="00FC1E5A">
        <w:rPr>
          <w:rFonts w:cs="Arial"/>
          <w:b/>
          <w:bCs/>
          <w:lang w:val="en-GB"/>
        </w:rPr>
        <w:t>‘</w:t>
      </w:r>
      <w:r w:rsidR="00CF0C7C">
        <w:rPr>
          <w:rFonts w:cs="Arial"/>
          <w:b/>
          <w:bCs/>
          <w:lang w:val="en-GB"/>
        </w:rPr>
        <w:t>Unaligned</w:t>
      </w:r>
      <w:r w:rsidR="003F0BF7">
        <w:rPr>
          <w:rFonts w:cs="Arial"/>
          <w:b/>
          <w:bCs/>
          <w:lang w:val="en-GB"/>
        </w:rPr>
        <w:t>’</w:t>
      </w:r>
      <w:r w:rsidR="001274B2" w:rsidRPr="00FC1E5A">
        <w:rPr>
          <w:rFonts w:cs="Arial"/>
          <w:lang w:val="en-GB"/>
        </w:rPr>
        <w:t xml:space="preserve">. </w:t>
      </w:r>
      <w:r w:rsidR="005103D9">
        <w:rPr>
          <w:rFonts w:cs="Arial"/>
          <w:lang w:val="en-GB"/>
        </w:rPr>
        <w:t xml:space="preserve">The following presents a justification for the scoring </w:t>
      </w:r>
      <w:r w:rsidR="001274B2" w:rsidRPr="00FC1E5A">
        <w:rPr>
          <w:rFonts w:cs="Arial"/>
          <w:lang w:val="en-GB"/>
        </w:rPr>
        <w:t>of each</w:t>
      </w:r>
      <w:r w:rsidR="00ED1488">
        <w:rPr>
          <w:rFonts w:cs="Arial"/>
          <w:lang w:val="en-GB"/>
        </w:rPr>
        <w:t xml:space="preserve"> question per </w:t>
      </w:r>
      <w:r w:rsidR="00580042">
        <w:rPr>
          <w:rFonts w:cs="Arial"/>
          <w:lang w:val="en-GB"/>
        </w:rPr>
        <w:t>assessment dimension</w:t>
      </w:r>
      <w:r w:rsidR="005103D9">
        <w:rPr>
          <w:rFonts w:cs="Arial"/>
          <w:lang w:val="en-GB"/>
        </w:rPr>
        <w:t>.</w:t>
      </w:r>
    </w:p>
    <w:p w14:paraId="303139D8" w14:textId="77777777" w:rsidR="001274B2" w:rsidRDefault="00D13760" w:rsidP="005103D9">
      <w:pPr>
        <w:pStyle w:val="berschrift2"/>
        <w:spacing w:before="120" w:after="0"/>
        <w:ind w:left="431" w:hanging="431"/>
        <w:rPr>
          <w:rFonts w:ascii="Arial" w:hAnsi="Arial"/>
        </w:rPr>
      </w:pPr>
      <w:bookmarkStart w:id="12" w:name="_Ref81927832"/>
      <w:bookmarkStart w:id="13" w:name="_Toc84520028"/>
      <w:r>
        <w:rPr>
          <w:rFonts w:ascii="Arial" w:hAnsi="Arial"/>
        </w:rPr>
        <w:t>D</w:t>
      </w:r>
      <w:r w:rsidR="00101B8E">
        <w:rPr>
          <w:rFonts w:ascii="Arial" w:hAnsi="Arial"/>
        </w:rPr>
        <w:t>imension</w:t>
      </w:r>
      <w:r>
        <w:rPr>
          <w:rFonts w:ascii="Arial" w:hAnsi="Arial"/>
        </w:rPr>
        <w:t xml:space="preserve"> </w:t>
      </w:r>
      <w:r w:rsidR="001274B2" w:rsidRPr="00FC1E5A">
        <w:rPr>
          <w:rFonts w:ascii="Arial" w:hAnsi="Arial"/>
        </w:rPr>
        <w:t>1: Financial and non-financial disclosure and transparency</w:t>
      </w:r>
      <w:bookmarkEnd w:id="12"/>
      <w:bookmarkEnd w:id="13"/>
    </w:p>
    <w:p w14:paraId="6B84D9AD" w14:textId="77777777" w:rsidR="00771B8E" w:rsidRDefault="00E32894" w:rsidP="001274B2">
      <w:pPr>
        <w:rPr>
          <w:rFonts w:cs="Arial"/>
          <w:lang w:val="en-GB"/>
        </w:rPr>
      </w:pPr>
      <w:r>
        <w:rPr>
          <w:rFonts w:cs="Arial"/>
          <w:lang w:val="en-GB"/>
        </w:rPr>
        <w:t>Th</w:t>
      </w:r>
      <w:r w:rsidR="0039587D">
        <w:rPr>
          <w:rFonts w:cs="Arial"/>
          <w:lang w:val="en-GB"/>
        </w:rPr>
        <w:t xml:space="preserve">e first </w:t>
      </w:r>
      <w:r>
        <w:rPr>
          <w:rFonts w:cs="Arial"/>
          <w:lang w:val="en-GB"/>
        </w:rPr>
        <w:t>dimension</w:t>
      </w:r>
      <w:r w:rsidR="001274B2" w:rsidRPr="00FC1E5A">
        <w:rPr>
          <w:rFonts w:cs="Arial"/>
          <w:lang w:val="en-GB"/>
        </w:rPr>
        <w:t xml:space="preserve"> is underpinned by </w:t>
      </w:r>
      <w:r w:rsidR="001274B2" w:rsidRPr="00031B9A">
        <w:rPr>
          <w:rFonts w:cs="Arial"/>
          <w:lang w:val="en-GB"/>
        </w:rPr>
        <w:t>four key questions</w:t>
      </w:r>
      <w:r w:rsidR="001274B2" w:rsidRPr="00FC1E5A">
        <w:rPr>
          <w:rFonts w:cs="Arial"/>
          <w:lang w:val="en-GB"/>
        </w:rPr>
        <w:t xml:space="preserve"> regarding the transparency of financial and non-financial disclosure of the ECA. </w:t>
      </w:r>
      <w:r w:rsidR="00DE40B9">
        <w:rPr>
          <w:rFonts w:cs="Arial"/>
          <w:lang w:val="en-GB"/>
        </w:rPr>
        <w:t>This dimension</w:t>
      </w:r>
      <w:r w:rsidR="001274B2" w:rsidRPr="00FC1E5A">
        <w:rPr>
          <w:rFonts w:cs="Arial"/>
          <w:lang w:val="en-GB"/>
        </w:rPr>
        <w:t xml:space="preserve"> is a crucial prerequisite to evaluate the Paris </w:t>
      </w:r>
      <w:r w:rsidR="00D77602">
        <w:rPr>
          <w:rFonts w:cs="Arial"/>
          <w:lang w:val="en-GB"/>
        </w:rPr>
        <w:t>a</w:t>
      </w:r>
      <w:r w:rsidR="001274B2" w:rsidRPr="00FC1E5A">
        <w:rPr>
          <w:rFonts w:cs="Arial"/>
          <w:lang w:val="en-GB"/>
        </w:rPr>
        <w:t>lignment of ECAs</w:t>
      </w:r>
      <w:r w:rsidR="00046CCD">
        <w:rPr>
          <w:rFonts w:cs="Arial"/>
          <w:lang w:val="en-GB"/>
        </w:rPr>
        <w:t xml:space="preserve"> in subsequent dimensions and to hold </w:t>
      </w:r>
      <w:r w:rsidR="00046CCD" w:rsidRPr="00FC1E5A">
        <w:rPr>
          <w:rFonts w:cs="Arial"/>
          <w:lang w:val="en-GB"/>
        </w:rPr>
        <w:t>governments accountable for supporting businesses abroad against their commitments under international treaties, such as the Paris Agreement</w:t>
      </w:r>
      <w:r w:rsidR="00046CCD">
        <w:rPr>
          <w:rFonts w:cs="Arial"/>
          <w:lang w:val="en-GB"/>
        </w:rPr>
        <w:t>. Furthermore, it is</w:t>
      </w:r>
      <w:r w:rsidR="001274B2" w:rsidRPr="00FC1E5A">
        <w:rPr>
          <w:rFonts w:cs="Arial"/>
          <w:lang w:val="en-GB"/>
        </w:rPr>
        <w:t xml:space="preserve"> especially </w:t>
      </w:r>
      <w:r w:rsidR="00046CCD">
        <w:rPr>
          <w:rFonts w:cs="Arial"/>
          <w:lang w:val="en-GB"/>
        </w:rPr>
        <w:t xml:space="preserve">important since </w:t>
      </w:r>
      <w:r w:rsidR="00B125F6">
        <w:rPr>
          <w:rFonts w:cs="Arial"/>
          <w:lang w:val="en-GB"/>
        </w:rPr>
        <w:t>ECAs</w:t>
      </w:r>
      <w:r w:rsidR="001274B2" w:rsidRPr="00FC1E5A">
        <w:rPr>
          <w:rFonts w:cs="Arial"/>
          <w:lang w:val="en-GB"/>
        </w:rPr>
        <w:t xml:space="preserve"> </w:t>
      </w:r>
      <w:r w:rsidR="00AF64B8" w:rsidRPr="00FC1E5A">
        <w:rPr>
          <w:rFonts w:cs="Arial"/>
          <w:lang w:val="en-GB"/>
        </w:rPr>
        <w:t>were</w:t>
      </w:r>
      <w:r w:rsidR="001274B2" w:rsidRPr="00FC1E5A">
        <w:rPr>
          <w:rFonts w:cs="Arial"/>
          <w:lang w:val="en-GB"/>
        </w:rPr>
        <w:t xml:space="preserve"> found to be particularly lacking transparency in the past (Shishlov et al. 2020). </w:t>
      </w:r>
      <w:r w:rsidR="00E42006">
        <w:rPr>
          <w:rFonts w:cs="Arial"/>
          <w:lang w:val="en-GB"/>
        </w:rPr>
        <w:t>T</w:t>
      </w:r>
      <w:r w:rsidR="00CB6F4E">
        <w:rPr>
          <w:rFonts w:cs="Arial"/>
          <w:lang w:val="en-GB"/>
        </w:rPr>
        <w:t xml:space="preserve">he methodology </w:t>
      </w:r>
      <w:r w:rsidR="004151AB">
        <w:rPr>
          <w:rFonts w:cs="Arial"/>
          <w:lang w:val="en-GB"/>
        </w:rPr>
        <w:t>weighs this dimension with</w:t>
      </w:r>
      <w:r w:rsidR="00CB6F4E">
        <w:rPr>
          <w:rFonts w:cs="Arial"/>
          <w:lang w:val="en-GB"/>
        </w:rPr>
        <w:t xml:space="preserve"> a total of 20% </w:t>
      </w:r>
      <w:r w:rsidR="003C2D0C">
        <w:rPr>
          <w:rFonts w:cs="Arial"/>
          <w:lang w:val="en-GB"/>
        </w:rPr>
        <w:t>recognizing that</w:t>
      </w:r>
      <w:r w:rsidR="00CB6F4E">
        <w:rPr>
          <w:rFonts w:cs="Arial"/>
          <w:lang w:val="en-GB"/>
        </w:rPr>
        <w:t xml:space="preserve"> disclosure cannot be an end in</w:t>
      </w:r>
      <w:r w:rsidR="000E4AD5">
        <w:rPr>
          <w:rFonts w:cs="Arial"/>
          <w:lang w:val="en-GB"/>
        </w:rPr>
        <w:t xml:space="preserve"> and of</w:t>
      </w:r>
      <w:r w:rsidR="00CB6F4E">
        <w:rPr>
          <w:rFonts w:cs="Arial"/>
          <w:lang w:val="en-GB"/>
        </w:rPr>
        <w:t xml:space="preserve"> itself.</w:t>
      </w:r>
    </w:p>
    <w:p w14:paraId="629FA341" w14:textId="4C5AC172" w:rsidR="001274B2" w:rsidRPr="00FC1E5A" w:rsidRDefault="008D154F" w:rsidP="001274B2">
      <w:pPr>
        <w:rPr>
          <w:rFonts w:cs="Arial"/>
          <w:lang w:val="en-GB"/>
        </w:rPr>
      </w:pPr>
      <w:r>
        <w:rPr>
          <w:rFonts w:cs="Arial"/>
          <w:b/>
          <w:bCs/>
          <w:lang w:val="en-GB"/>
        </w:rPr>
        <w:t>I</w:t>
      </w:r>
      <w:r w:rsidR="009541B9">
        <w:rPr>
          <w:rFonts w:cs="Arial"/>
          <w:b/>
          <w:bCs/>
          <w:lang w:val="en-GB"/>
        </w:rPr>
        <w:t>n this assessment dimension</w:t>
      </w:r>
      <w:r>
        <w:rPr>
          <w:rFonts w:cs="Arial"/>
          <w:b/>
          <w:bCs/>
          <w:lang w:val="en-GB"/>
        </w:rPr>
        <w:t xml:space="preserve">, </w:t>
      </w:r>
      <w:r w:rsidRPr="008D154F">
        <w:rPr>
          <w:rFonts w:cs="Arial"/>
          <w:b/>
          <w:lang w:val="en-GB"/>
        </w:rPr>
        <w:t>the Dutch ECA</w:t>
      </w:r>
      <w:r>
        <w:rPr>
          <w:rFonts w:cs="Arial"/>
          <w:lang w:val="en-GB"/>
        </w:rPr>
        <w:t xml:space="preserve"> </w:t>
      </w:r>
      <w:r>
        <w:rPr>
          <w:rFonts w:cs="Arial"/>
          <w:b/>
          <w:bCs/>
          <w:lang w:val="en-GB"/>
        </w:rPr>
        <w:t>Atradius DSB scored best</w:t>
      </w:r>
      <w:r w:rsidR="009541B9">
        <w:rPr>
          <w:rFonts w:cs="Arial"/>
          <w:b/>
          <w:bCs/>
          <w:lang w:val="en-GB"/>
        </w:rPr>
        <w:t xml:space="preserve"> and </w:t>
      </w:r>
      <w:r w:rsidR="005F0F03">
        <w:rPr>
          <w:rFonts w:cs="Arial"/>
          <w:b/>
          <w:bCs/>
          <w:lang w:val="en-GB"/>
        </w:rPr>
        <w:t>was</w:t>
      </w:r>
      <w:r w:rsidR="009541B9">
        <w:rPr>
          <w:rFonts w:cs="Arial"/>
          <w:b/>
          <w:bCs/>
          <w:lang w:val="en-GB"/>
        </w:rPr>
        <w:t xml:space="preserve"> rated </w:t>
      </w:r>
      <w:r w:rsidR="00A738C9">
        <w:rPr>
          <w:rFonts w:cs="Arial"/>
          <w:b/>
          <w:bCs/>
          <w:lang w:val="en-GB"/>
        </w:rPr>
        <w:t xml:space="preserve">with </w:t>
      </w:r>
      <w:r w:rsidR="009541B9">
        <w:rPr>
          <w:rFonts w:cs="Arial"/>
          <w:b/>
          <w:bCs/>
          <w:lang w:val="en-GB"/>
        </w:rPr>
        <w:t>the label</w:t>
      </w:r>
      <w:r w:rsidR="001274B2" w:rsidRPr="00FC1E5A">
        <w:rPr>
          <w:rFonts w:cs="Arial"/>
          <w:b/>
          <w:bCs/>
          <w:lang w:val="en-GB"/>
        </w:rPr>
        <w:t xml:space="preserve"> </w:t>
      </w:r>
      <w:r w:rsidR="00147109" w:rsidRPr="00FC1E5A">
        <w:rPr>
          <w:rFonts w:cs="Arial"/>
          <w:b/>
          <w:bCs/>
          <w:lang w:val="en-GB"/>
        </w:rPr>
        <w:t>‘</w:t>
      </w:r>
      <w:r w:rsidR="00840607">
        <w:rPr>
          <w:rFonts w:cs="Arial"/>
          <w:b/>
          <w:bCs/>
          <w:lang w:val="en-GB"/>
        </w:rPr>
        <w:t>Some progress</w:t>
      </w:r>
      <w:r w:rsidR="00147109" w:rsidRPr="00FC1E5A">
        <w:rPr>
          <w:rFonts w:cs="Arial"/>
          <w:b/>
          <w:bCs/>
          <w:lang w:val="en-GB"/>
        </w:rPr>
        <w:t>’</w:t>
      </w:r>
      <w:r w:rsidR="001274B2" w:rsidRPr="00FC1E5A">
        <w:rPr>
          <w:rFonts w:cs="Arial"/>
          <w:b/>
          <w:bCs/>
          <w:lang w:val="en-GB"/>
        </w:rPr>
        <w:t xml:space="preserve"> </w:t>
      </w:r>
      <w:r w:rsidR="0025769E">
        <w:rPr>
          <w:rFonts w:cs="Arial"/>
          <w:b/>
          <w:bCs/>
          <w:lang w:val="en-GB"/>
        </w:rPr>
        <w:t>and</w:t>
      </w:r>
      <w:r w:rsidR="001274B2" w:rsidRPr="00FC1E5A">
        <w:rPr>
          <w:rFonts w:cs="Arial"/>
          <w:b/>
          <w:bCs/>
          <w:lang w:val="en-GB"/>
        </w:rPr>
        <w:t xml:space="preserve"> </w:t>
      </w:r>
      <w:r w:rsidR="00840607">
        <w:rPr>
          <w:rFonts w:cs="Arial"/>
          <w:b/>
          <w:bCs/>
          <w:lang w:val="en-GB"/>
        </w:rPr>
        <w:t xml:space="preserve">a </w:t>
      </w:r>
      <w:r w:rsidR="001274B2" w:rsidRPr="00FC1E5A">
        <w:rPr>
          <w:rFonts w:cs="Arial"/>
          <w:b/>
          <w:bCs/>
          <w:lang w:val="en-GB"/>
        </w:rPr>
        <w:t xml:space="preserve">sub-score of </w:t>
      </w:r>
      <w:r w:rsidR="00840607">
        <w:rPr>
          <w:rFonts w:cs="Arial"/>
          <w:b/>
          <w:bCs/>
          <w:lang w:val="en-GB"/>
        </w:rPr>
        <w:t>1</w:t>
      </w:r>
      <w:r w:rsidR="001274B2" w:rsidRPr="00FC1E5A">
        <w:rPr>
          <w:rFonts w:cs="Arial"/>
          <w:b/>
          <w:bCs/>
          <w:lang w:val="en-GB"/>
        </w:rPr>
        <w:t>.</w:t>
      </w:r>
      <w:r w:rsidR="00DD6F25">
        <w:rPr>
          <w:rFonts w:cs="Arial"/>
          <w:b/>
          <w:bCs/>
          <w:lang w:val="en-GB"/>
        </w:rPr>
        <w:t>00</w:t>
      </w:r>
      <w:r w:rsidR="00DB1842" w:rsidRPr="00FC1E5A">
        <w:rPr>
          <w:rFonts w:cs="Arial"/>
          <w:b/>
          <w:bCs/>
          <w:lang w:val="en-GB"/>
        </w:rPr>
        <w:t>/3.00</w:t>
      </w:r>
      <w:r w:rsidR="001274B2" w:rsidRPr="00FC1E5A">
        <w:rPr>
          <w:rFonts w:cs="Arial"/>
          <w:b/>
          <w:bCs/>
          <w:lang w:val="en-GB"/>
        </w:rPr>
        <w:t>.</w:t>
      </w:r>
      <w:r w:rsidR="001274B2" w:rsidRPr="00FC1E5A">
        <w:rPr>
          <w:rFonts w:cs="Arial"/>
          <w:lang w:val="en-GB"/>
        </w:rPr>
        <w:t xml:space="preserve"> </w:t>
      </w:r>
      <w:r w:rsidR="0030618F">
        <w:rPr>
          <w:rFonts w:cs="Arial"/>
          <w:lang w:val="en-GB"/>
        </w:rPr>
        <w:t>We score</w:t>
      </w:r>
      <w:r w:rsidR="002E4975">
        <w:rPr>
          <w:rFonts w:cs="Arial"/>
          <w:lang w:val="en-GB"/>
        </w:rPr>
        <w:t>d</w:t>
      </w:r>
      <w:r w:rsidR="0030618F">
        <w:rPr>
          <w:rFonts w:cs="Arial"/>
          <w:lang w:val="en-GB"/>
        </w:rPr>
        <w:t xml:space="preserve"> </w:t>
      </w:r>
      <w:r w:rsidR="008A6254">
        <w:rPr>
          <w:rFonts w:cs="Arial"/>
          <w:lang w:val="en-GB"/>
        </w:rPr>
        <w:t>Atradius DSB</w:t>
      </w:r>
      <w:r w:rsidR="001274B2" w:rsidRPr="00FC1E5A">
        <w:rPr>
          <w:rFonts w:cs="Arial"/>
          <w:lang w:val="en-GB"/>
        </w:rPr>
        <w:t xml:space="preserve"> </w:t>
      </w:r>
      <w:r w:rsidR="0030618F">
        <w:rPr>
          <w:rFonts w:cs="Arial"/>
          <w:lang w:val="en-GB"/>
        </w:rPr>
        <w:t xml:space="preserve">with </w:t>
      </w:r>
      <w:r w:rsidR="00AB7B79">
        <w:rPr>
          <w:rFonts w:cs="Arial"/>
          <w:lang w:val="en-GB"/>
        </w:rPr>
        <w:t xml:space="preserve">‘Paris aligned’ </w:t>
      </w:r>
      <w:r w:rsidR="005241E8">
        <w:rPr>
          <w:rFonts w:cs="Arial"/>
          <w:lang w:val="en-GB"/>
        </w:rPr>
        <w:t xml:space="preserve">only </w:t>
      </w:r>
      <w:r w:rsidR="0030618F">
        <w:rPr>
          <w:rFonts w:cs="Arial"/>
          <w:lang w:val="en-GB"/>
        </w:rPr>
        <w:t>in Q1.2</w:t>
      </w:r>
      <w:r w:rsidR="00F31E1B">
        <w:rPr>
          <w:rFonts w:cs="Arial"/>
          <w:lang w:val="en-GB"/>
        </w:rPr>
        <w:t>. With this result we want to highlight</w:t>
      </w:r>
      <w:r w:rsidR="0030618F">
        <w:rPr>
          <w:rFonts w:cs="Arial"/>
          <w:lang w:val="en-GB"/>
        </w:rPr>
        <w:t xml:space="preserve"> the </w:t>
      </w:r>
      <w:r w:rsidR="00F31E1B">
        <w:rPr>
          <w:rFonts w:cs="Arial"/>
          <w:lang w:val="en-GB"/>
        </w:rPr>
        <w:t xml:space="preserve">significant </w:t>
      </w:r>
      <w:r w:rsidR="0030618F">
        <w:rPr>
          <w:rFonts w:cs="Arial"/>
          <w:lang w:val="en-GB"/>
        </w:rPr>
        <w:t xml:space="preserve">progress </w:t>
      </w:r>
      <w:r w:rsidR="00F31E1B">
        <w:rPr>
          <w:rFonts w:cs="Arial"/>
          <w:lang w:val="en-GB"/>
        </w:rPr>
        <w:t xml:space="preserve">the ECA </w:t>
      </w:r>
      <w:r w:rsidR="0030618F">
        <w:rPr>
          <w:rFonts w:cs="Arial"/>
          <w:lang w:val="en-GB"/>
        </w:rPr>
        <w:t>made</w:t>
      </w:r>
      <w:r w:rsidR="00BC7049">
        <w:rPr>
          <w:rFonts w:cs="Arial"/>
          <w:lang w:val="en-GB"/>
        </w:rPr>
        <w:t xml:space="preserve"> over the past two years</w:t>
      </w:r>
      <w:r w:rsidR="0030618F">
        <w:rPr>
          <w:rFonts w:cs="Arial"/>
          <w:lang w:val="en-GB"/>
        </w:rPr>
        <w:t xml:space="preserve"> </w:t>
      </w:r>
      <w:r w:rsidR="00BC7049">
        <w:rPr>
          <w:rFonts w:cs="Arial"/>
          <w:lang w:val="en-GB"/>
        </w:rPr>
        <w:t xml:space="preserve">in </w:t>
      </w:r>
      <w:r w:rsidR="0030618F">
        <w:rPr>
          <w:rFonts w:cs="Arial"/>
          <w:lang w:val="en-GB"/>
        </w:rPr>
        <w:t xml:space="preserve">disclosing the ‘fossil’ shares of the portfolio. </w:t>
      </w:r>
      <w:r w:rsidR="00D011EF">
        <w:rPr>
          <w:rFonts w:cs="Arial"/>
          <w:lang w:val="en-GB"/>
        </w:rPr>
        <w:t>Q1.1 remain</w:t>
      </w:r>
      <w:r w:rsidR="005E31A1">
        <w:rPr>
          <w:rFonts w:cs="Arial"/>
          <w:lang w:val="en-GB"/>
        </w:rPr>
        <w:t>s</w:t>
      </w:r>
      <w:r w:rsidR="00D011EF">
        <w:rPr>
          <w:rFonts w:cs="Arial"/>
          <w:lang w:val="en-GB"/>
        </w:rPr>
        <w:t xml:space="preserve"> ‘</w:t>
      </w:r>
      <w:r w:rsidR="00114BEF">
        <w:rPr>
          <w:rFonts w:cs="Arial"/>
          <w:lang w:val="en-GB"/>
        </w:rPr>
        <w:t>U</w:t>
      </w:r>
      <w:r w:rsidR="00D011EF">
        <w:rPr>
          <w:rFonts w:cs="Arial"/>
          <w:lang w:val="en-GB"/>
        </w:rPr>
        <w:t xml:space="preserve">naligned’ due to the absence of </w:t>
      </w:r>
      <w:r w:rsidR="005E31A1">
        <w:rPr>
          <w:rFonts w:cs="Arial"/>
          <w:lang w:val="en-GB"/>
        </w:rPr>
        <w:t>GHG accounting</w:t>
      </w:r>
      <w:r w:rsidR="00823CBA">
        <w:rPr>
          <w:rFonts w:cs="Arial"/>
          <w:lang w:val="en-GB"/>
        </w:rPr>
        <w:t xml:space="preserve"> as the relevant non-financial disclosure</w:t>
      </w:r>
      <w:r w:rsidR="005E31A1">
        <w:rPr>
          <w:rFonts w:cs="Arial"/>
          <w:lang w:val="en-GB"/>
        </w:rPr>
        <w:t xml:space="preserve">, while </w:t>
      </w:r>
      <w:r w:rsidR="009722AD">
        <w:rPr>
          <w:rFonts w:cs="Arial"/>
          <w:lang w:val="en-GB"/>
        </w:rPr>
        <w:t xml:space="preserve">Q1.3 and </w:t>
      </w:r>
      <w:r w:rsidR="005E31A1">
        <w:rPr>
          <w:rFonts w:cs="Arial"/>
          <w:lang w:val="en-GB"/>
        </w:rPr>
        <w:t>Q1.4 score</w:t>
      </w:r>
      <w:r w:rsidR="00BC293F">
        <w:rPr>
          <w:rFonts w:cs="Arial"/>
          <w:lang w:val="en-GB"/>
        </w:rPr>
        <w:t>d</w:t>
      </w:r>
      <w:r w:rsidR="005F4507">
        <w:rPr>
          <w:rFonts w:cs="Arial"/>
          <w:lang w:val="en-GB"/>
        </w:rPr>
        <w:t xml:space="preserve"> </w:t>
      </w:r>
      <w:r w:rsidR="005E31A1">
        <w:rPr>
          <w:rFonts w:cs="Arial"/>
          <w:lang w:val="en-GB"/>
        </w:rPr>
        <w:t>‘Some progress’.</w:t>
      </w:r>
    </w:p>
    <w:tbl>
      <w:tblPr>
        <w:tblStyle w:val="Tabellenraster"/>
        <w:tblW w:w="9071" w:type="dxa"/>
        <w:tblInd w:w="-5" w:type="dxa"/>
        <w:tblLook w:val="04A0" w:firstRow="1" w:lastRow="0" w:firstColumn="1" w:lastColumn="0" w:noHBand="0" w:noVBand="1"/>
      </w:tblPr>
      <w:tblGrid>
        <w:gridCol w:w="850"/>
        <w:gridCol w:w="7030"/>
        <w:gridCol w:w="1191"/>
      </w:tblGrid>
      <w:tr w:rsidR="001274B2" w:rsidRPr="00FC1E5A" w14:paraId="47BB31A7" w14:textId="77777777" w:rsidTr="007B6892">
        <w:trPr>
          <w:trHeight w:val="274"/>
          <w:tblHeader/>
        </w:trPr>
        <w:tc>
          <w:tcPr>
            <w:tcW w:w="850" w:type="dxa"/>
          </w:tcPr>
          <w:p w14:paraId="2146D38D" w14:textId="77777777" w:rsidR="001274B2" w:rsidRPr="00FC1E5A" w:rsidRDefault="001274B2" w:rsidP="001274B2">
            <w:pPr>
              <w:spacing w:after="120"/>
              <w:rPr>
                <w:rFonts w:cs="Arial"/>
                <w:b/>
                <w:bCs/>
                <w:sz w:val="18"/>
                <w:szCs w:val="18"/>
                <w:lang w:val="en-GB"/>
              </w:rPr>
            </w:pPr>
            <w:r w:rsidRPr="00FC1E5A">
              <w:rPr>
                <w:rFonts w:cs="Arial"/>
                <w:b/>
                <w:bCs/>
                <w:sz w:val="18"/>
                <w:szCs w:val="18"/>
                <w:lang w:val="en-GB"/>
              </w:rPr>
              <w:t>Q Nr.</w:t>
            </w:r>
          </w:p>
        </w:tc>
        <w:tc>
          <w:tcPr>
            <w:tcW w:w="7030" w:type="dxa"/>
          </w:tcPr>
          <w:p w14:paraId="352E8105" w14:textId="77777777" w:rsidR="001274B2" w:rsidRPr="00FC1E5A" w:rsidRDefault="007B5D98" w:rsidP="001274B2">
            <w:pPr>
              <w:spacing w:after="120"/>
              <w:rPr>
                <w:rFonts w:cs="Arial"/>
                <w:b/>
                <w:bCs/>
                <w:sz w:val="18"/>
                <w:szCs w:val="18"/>
                <w:lang w:val="en-GB"/>
              </w:rPr>
            </w:pPr>
            <w:r w:rsidRPr="007B5D98">
              <w:rPr>
                <w:rFonts w:cs="Arial"/>
                <w:b/>
                <w:bCs/>
                <w:sz w:val="18"/>
                <w:szCs w:val="18"/>
                <w:lang w:val="en-GB"/>
              </w:rPr>
              <w:t xml:space="preserve">Dimension </w:t>
            </w:r>
            <w:r w:rsidR="001274B2" w:rsidRPr="00FC1E5A">
              <w:rPr>
                <w:rFonts w:cs="Arial"/>
                <w:b/>
                <w:bCs/>
                <w:sz w:val="18"/>
                <w:szCs w:val="18"/>
                <w:lang w:val="en-GB"/>
              </w:rPr>
              <w:t>1 – key questions</w:t>
            </w:r>
          </w:p>
        </w:tc>
        <w:tc>
          <w:tcPr>
            <w:tcW w:w="1191" w:type="dxa"/>
          </w:tcPr>
          <w:p w14:paraId="54186A84" w14:textId="77777777" w:rsidR="001274B2" w:rsidRPr="00FC1E5A" w:rsidRDefault="001274B2" w:rsidP="001274B2">
            <w:pPr>
              <w:spacing w:after="120"/>
              <w:rPr>
                <w:rFonts w:cs="Arial"/>
                <w:b/>
                <w:bCs/>
                <w:sz w:val="18"/>
                <w:szCs w:val="18"/>
                <w:lang w:val="en-GB"/>
              </w:rPr>
            </w:pPr>
            <w:r w:rsidRPr="00FC1E5A">
              <w:rPr>
                <w:rFonts w:cs="Arial"/>
                <w:b/>
                <w:bCs/>
                <w:sz w:val="18"/>
                <w:szCs w:val="18"/>
                <w:lang w:val="en-GB"/>
              </w:rPr>
              <w:t>Rating</w:t>
            </w:r>
          </w:p>
        </w:tc>
      </w:tr>
      <w:tr w:rsidR="001274B2" w:rsidRPr="00FC1E5A" w14:paraId="2CA4976F" w14:textId="77777777" w:rsidTr="002D7C3B">
        <w:trPr>
          <w:trHeight w:val="510"/>
        </w:trPr>
        <w:tc>
          <w:tcPr>
            <w:tcW w:w="850" w:type="dxa"/>
          </w:tcPr>
          <w:p w14:paraId="736CBC7D" w14:textId="77777777" w:rsidR="001274B2" w:rsidRPr="00FC1E5A" w:rsidRDefault="001274B2" w:rsidP="001274B2">
            <w:pPr>
              <w:spacing w:after="120"/>
              <w:rPr>
                <w:rFonts w:cs="Arial"/>
                <w:sz w:val="18"/>
                <w:szCs w:val="18"/>
                <w:lang w:val="en-GB"/>
              </w:rPr>
            </w:pPr>
            <w:r w:rsidRPr="00FC1E5A">
              <w:rPr>
                <w:rFonts w:cs="Arial"/>
                <w:sz w:val="18"/>
                <w:szCs w:val="18"/>
                <w:lang w:val="en-GB"/>
              </w:rPr>
              <w:t>1.1</w:t>
            </w:r>
          </w:p>
        </w:tc>
        <w:tc>
          <w:tcPr>
            <w:tcW w:w="7030" w:type="dxa"/>
          </w:tcPr>
          <w:p w14:paraId="2D880C09" w14:textId="77777777" w:rsidR="001274B2" w:rsidRPr="00FC1E5A" w:rsidRDefault="001274B2" w:rsidP="001274B2">
            <w:pPr>
              <w:spacing w:after="120"/>
              <w:rPr>
                <w:rFonts w:cs="Arial"/>
                <w:sz w:val="18"/>
                <w:szCs w:val="18"/>
                <w:lang w:val="en-GB"/>
              </w:rPr>
            </w:pPr>
            <w:r w:rsidRPr="00FC1E5A">
              <w:rPr>
                <w:rFonts w:cs="Arial"/>
                <w:sz w:val="18"/>
                <w:szCs w:val="18"/>
                <w:lang w:val="en-GB"/>
              </w:rPr>
              <w:t>To what extent can the GHG intensity of all activities supported by the ECA be assessed based on publicly available data? (Non-financial disclosure)</w:t>
            </w:r>
          </w:p>
        </w:tc>
        <w:tc>
          <w:tcPr>
            <w:tcW w:w="1191" w:type="dxa"/>
            <w:shd w:val="clear" w:color="auto" w:fill="FF0000"/>
          </w:tcPr>
          <w:p w14:paraId="57427C3A" w14:textId="77777777" w:rsidR="001274B2" w:rsidRPr="00FC1E5A" w:rsidRDefault="001274B2" w:rsidP="001274B2">
            <w:pPr>
              <w:spacing w:after="120"/>
              <w:rPr>
                <w:rFonts w:cs="Arial"/>
                <w:b/>
                <w:bCs/>
                <w:sz w:val="18"/>
                <w:szCs w:val="18"/>
                <w:lang w:val="en-GB"/>
              </w:rPr>
            </w:pPr>
            <w:r w:rsidRPr="00FC1E5A">
              <w:rPr>
                <w:rFonts w:cs="Arial"/>
                <w:b/>
                <w:bCs/>
                <w:sz w:val="18"/>
                <w:szCs w:val="18"/>
                <w:lang w:val="en-GB"/>
              </w:rPr>
              <w:t>Unaligned</w:t>
            </w:r>
          </w:p>
        </w:tc>
      </w:tr>
      <w:tr w:rsidR="001274B2" w:rsidRPr="00FC1E5A" w14:paraId="23712581" w14:textId="77777777" w:rsidTr="0031315A">
        <w:trPr>
          <w:trHeight w:val="170"/>
        </w:trPr>
        <w:tc>
          <w:tcPr>
            <w:tcW w:w="850" w:type="dxa"/>
          </w:tcPr>
          <w:p w14:paraId="41525969" w14:textId="77777777" w:rsidR="001274B2" w:rsidRPr="00FC1E5A" w:rsidRDefault="001274B2" w:rsidP="001274B2">
            <w:pPr>
              <w:spacing w:after="120"/>
              <w:rPr>
                <w:rFonts w:cs="Arial"/>
                <w:sz w:val="18"/>
                <w:szCs w:val="18"/>
                <w:lang w:val="en-GB"/>
              </w:rPr>
            </w:pPr>
            <w:r w:rsidRPr="00FC1E5A">
              <w:rPr>
                <w:rFonts w:cs="Arial"/>
                <w:sz w:val="18"/>
                <w:szCs w:val="18"/>
                <w:lang w:val="en-GB"/>
              </w:rPr>
              <w:t>1.2</w:t>
            </w:r>
          </w:p>
        </w:tc>
        <w:tc>
          <w:tcPr>
            <w:tcW w:w="7030" w:type="dxa"/>
          </w:tcPr>
          <w:p w14:paraId="0F3CF40E" w14:textId="77777777" w:rsidR="001274B2" w:rsidRPr="00FC1E5A" w:rsidRDefault="001274B2" w:rsidP="001274B2">
            <w:pPr>
              <w:spacing w:after="120"/>
              <w:rPr>
                <w:rFonts w:cs="Arial"/>
                <w:sz w:val="18"/>
                <w:szCs w:val="18"/>
                <w:lang w:val="en-GB"/>
              </w:rPr>
            </w:pPr>
            <w:r w:rsidRPr="00FC1E5A">
              <w:rPr>
                <w:rFonts w:cs="Arial"/>
                <w:sz w:val="18"/>
                <w:szCs w:val="18"/>
                <w:lang w:val="en-GB"/>
              </w:rPr>
              <w:t>In how far can the share of fossil fuel finance over total portfolio be assessed? (Financial disclosure)</w:t>
            </w:r>
          </w:p>
        </w:tc>
        <w:tc>
          <w:tcPr>
            <w:tcW w:w="1191" w:type="dxa"/>
            <w:shd w:val="clear" w:color="auto" w:fill="92D050"/>
          </w:tcPr>
          <w:p w14:paraId="306B6792" w14:textId="77777777" w:rsidR="001274B2" w:rsidRPr="00FC1E5A" w:rsidRDefault="00575D35" w:rsidP="001274B2">
            <w:pPr>
              <w:spacing w:after="120"/>
              <w:rPr>
                <w:rFonts w:cs="Arial"/>
                <w:b/>
                <w:bCs/>
                <w:sz w:val="18"/>
                <w:szCs w:val="18"/>
                <w:lang w:val="en-GB"/>
              </w:rPr>
            </w:pPr>
            <w:r>
              <w:rPr>
                <w:rFonts w:cs="Arial"/>
                <w:b/>
                <w:bCs/>
                <w:sz w:val="18"/>
                <w:szCs w:val="18"/>
                <w:lang w:val="en-GB"/>
              </w:rPr>
              <w:t>Paris aligned</w:t>
            </w:r>
          </w:p>
        </w:tc>
      </w:tr>
      <w:tr w:rsidR="001274B2" w:rsidRPr="00FC1E5A" w14:paraId="396D8D8C" w14:textId="77777777" w:rsidTr="00325179">
        <w:trPr>
          <w:trHeight w:val="170"/>
        </w:trPr>
        <w:tc>
          <w:tcPr>
            <w:tcW w:w="850" w:type="dxa"/>
          </w:tcPr>
          <w:p w14:paraId="46B89B0F" w14:textId="77777777" w:rsidR="001274B2" w:rsidRPr="00FC1E5A" w:rsidRDefault="001274B2" w:rsidP="001274B2">
            <w:pPr>
              <w:spacing w:after="120"/>
              <w:rPr>
                <w:rFonts w:cs="Arial"/>
                <w:sz w:val="18"/>
                <w:szCs w:val="18"/>
                <w:lang w:val="en-GB"/>
              </w:rPr>
            </w:pPr>
            <w:r w:rsidRPr="00FC1E5A">
              <w:rPr>
                <w:rFonts w:cs="Arial"/>
                <w:sz w:val="18"/>
                <w:szCs w:val="18"/>
                <w:lang w:val="en-GB"/>
              </w:rPr>
              <w:t>1.3</w:t>
            </w:r>
          </w:p>
        </w:tc>
        <w:tc>
          <w:tcPr>
            <w:tcW w:w="7030" w:type="dxa"/>
          </w:tcPr>
          <w:p w14:paraId="33215615" w14:textId="77777777" w:rsidR="001274B2" w:rsidRPr="00FC1E5A" w:rsidRDefault="001274B2" w:rsidP="001274B2">
            <w:pPr>
              <w:spacing w:after="120"/>
              <w:rPr>
                <w:rFonts w:cs="Arial"/>
                <w:sz w:val="18"/>
                <w:szCs w:val="18"/>
                <w:lang w:val="en-GB"/>
              </w:rPr>
            </w:pPr>
            <w:r w:rsidRPr="00FC1E5A">
              <w:rPr>
                <w:rFonts w:cs="Arial"/>
                <w:sz w:val="18"/>
                <w:szCs w:val="18"/>
                <w:lang w:val="en-GB"/>
              </w:rPr>
              <w:t>In how far can the share of climate finance over total portfolio be assessed? (Financial disclosure)</w:t>
            </w:r>
          </w:p>
        </w:tc>
        <w:tc>
          <w:tcPr>
            <w:tcW w:w="1191" w:type="dxa"/>
            <w:shd w:val="clear" w:color="auto" w:fill="FFC000"/>
          </w:tcPr>
          <w:p w14:paraId="20F02FFC" w14:textId="77777777" w:rsidR="001274B2" w:rsidRPr="00FC1E5A" w:rsidRDefault="00325179" w:rsidP="001274B2">
            <w:pPr>
              <w:spacing w:after="120"/>
              <w:rPr>
                <w:rFonts w:cs="Arial"/>
                <w:b/>
                <w:bCs/>
                <w:sz w:val="18"/>
                <w:szCs w:val="18"/>
                <w:lang w:val="en-GB"/>
              </w:rPr>
            </w:pPr>
            <w:r>
              <w:rPr>
                <w:rFonts w:cs="Arial"/>
                <w:b/>
                <w:bCs/>
                <w:sz w:val="18"/>
                <w:szCs w:val="18"/>
                <w:lang w:val="en-GB"/>
              </w:rPr>
              <w:t>Some progress</w:t>
            </w:r>
          </w:p>
        </w:tc>
      </w:tr>
      <w:tr w:rsidR="001274B2" w:rsidRPr="00FC1E5A" w14:paraId="2091F1F1" w14:textId="77777777" w:rsidTr="0031315A">
        <w:trPr>
          <w:trHeight w:val="567"/>
        </w:trPr>
        <w:tc>
          <w:tcPr>
            <w:tcW w:w="850" w:type="dxa"/>
          </w:tcPr>
          <w:p w14:paraId="3ADBF3C6" w14:textId="77777777" w:rsidR="001274B2" w:rsidRPr="00FC1E5A" w:rsidRDefault="001274B2" w:rsidP="001274B2">
            <w:pPr>
              <w:spacing w:after="120"/>
              <w:rPr>
                <w:rFonts w:cs="Arial"/>
                <w:sz w:val="18"/>
                <w:szCs w:val="18"/>
                <w:lang w:val="en-GB"/>
              </w:rPr>
            </w:pPr>
            <w:r w:rsidRPr="00FC1E5A">
              <w:rPr>
                <w:rFonts w:cs="Arial"/>
                <w:sz w:val="18"/>
                <w:szCs w:val="18"/>
                <w:lang w:val="en-GB"/>
              </w:rPr>
              <w:t>1.4</w:t>
            </w:r>
          </w:p>
        </w:tc>
        <w:tc>
          <w:tcPr>
            <w:tcW w:w="7030" w:type="dxa"/>
          </w:tcPr>
          <w:p w14:paraId="2323CA73" w14:textId="77777777" w:rsidR="001274B2" w:rsidRPr="00FC1E5A" w:rsidRDefault="001274B2" w:rsidP="001274B2">
            <w:pPr>
              <w:spacing w:after="120"/>
              <w:rPr>
                <w:rFonts w:cs="Arial"/>
                <w:sz w:val="18"/>
                <w:szCs w:val="18"/>
                <w:lang w:val="en-GB"/>
              </w:rPr>
            </w:pPr>
            <w:r w:rsidRPr="00FC1E5A">
              <w:rPr>
                <w:rFonts w:cs="Arial"/>
                <w:sz w:val="18"/>
                <w:szCs w:val="18"/>
                <w:lang w:val="en-GB"/>
              </w:rPr>
              <w:t>To what extent does the institution adhere to the Recommendations and Supporting Recommended Disclosures of the Task Force on Climate-related Disclosure (TCFD)?</w:t>
            </w:r>
          </w:p>
        </w:tc>
        <w:tc>
          <w:tcPr>
            <w:tcW w:w="1191" w:type="dxa"/>
            <w:shd w:val="clear" w:color="auto" w:fill="FFC000"/>
          </w:tcPr>
          <w:p w14:paraId="2F1A5740" w14:textId="77777777" w:rsidR="001274B2" w:rsidRPr="00FC1E5A" w:rsidRDefault="00575D35" w:rsidP="001274B2">
            <w:pPr>
              <w:spacing w:after="120"/>
              <w:rPr>
                <w:rFonts w:cs="Arial"/>
                <w:b/>
                <w:bCs/>
                <w:sz w:val="18"/>
                <w:szCs w:val="18"/>
                <w:lang w:val="en-GB"/>
              </w:rPr>
            </w:pPr>
            <w:r>
              <w:rPr>
                <w:rFonts w:cs="Arial"/>
                <w:b/>
                <w:bCs/>
                <w:sz w:val="18"/>
                <w:szCs w:val="18"/>
                <w:lang w:val="en-GB"/>
              </w:rPr>
              <w:t>Some progress</w:t>
            </w:r>
            <w:r w:rsidR="001274B2" w:rsidRPr="00FC1E5A">
              <w:rPr>
                <w:rFonts w:cs="Arial"/>
                <w:b/>
                <w:bCs/>
                <w:sz w:val="18"/>
                <w:szCs w:val="18"/>
                <w:lang w:val="en-GB"/>
              </w:rPr>
              <w:t xml:space="preserve"> </w:t>
            </w:r>
          </w:p>
        </w:tc>
      </w:tr>
    </w:tbl>
    <w:p w14:paraId="19FB6D2A" w14:textId="77777777" w:rsidR="001274B2" w:rsidRPr="00FC1E5A" w:rsidRDefault="001274B2" w:rsidP="00493C62">
      <w:pPr>
        <w:spacing w:before="120" w:after="0"/>
        <w:rPr>
          <w:rFonts w:cs="Arial"/>
          <w:b/>
          <w:bCs/>
          <w:lang w:val="en-GB"/>
        </w:rPr>
      </w:pPr>
      <w:r w:rsidRPr="00FC1E5A">
        <w:rPr>
          <w:rFonts w:cs="Arial"/>
          <w:b/>
          <w:bCs/>
          <w:lang w:val="en-GB"/>
        </w:rPr>
        <w:t xml:space="preserve">Q1.1: To what extent can the GHG intensity of all activities supported by the ECA be assessed based on publicly available data? (Non-financial disclosure) </w:t>
      </w:r>
    </w:p>
    <w:p w14:paraId="5D97AA17" w14:textId="77777777" w:rsidR="00F736F9" w:rsidRDefault="00511A64" w:rsidP="0065146B">
      <w:pPr>
        <w:spacing w:before="120" w:after="0"/>
        <w:rPr>
          <w:rFonts w:cs="Arial"/>
          <w:lang w:val="en-GB"/>
        </w:rPr>
      </w:pPr>
      <w:r>
        <w:rPr>
          <w:rFonts w:cs="Arial"/>
          <w:lang w:val="en-GB"/>
        </w:rPr>
        <w:t>As most ECAs</w:t>
      </w:r>
      <w:r w:rsidR="00B125F6">
        <w:rPr>
          <w:rFonts w:cs="Arial"/>
          <w:lang w:val="en-GB"/>
        </w:rPr>
        <w:t xml:space="preserve"> (with the exception of France)</w:t>
      </w:r>
      <w:r>
        <w:rPr>
          <w:rFonts w:cs="Arial"/>
          <w:lang w:val="en-GB"/>
        </w:rPr>
        <w:t xml:space="preserve">, Atradius DSB does </w:t>
      </w:r>
      <w:r w:rsidR="003226A7">
        <w:rPr>
          <w:rFonts w:cs="Arial"/>
          <w:lang w:val="en-GB"/>
        </w:rPr>
        <w:t>not engage in GHG accounting neither at portfolio- nor at institutional level.</w:t>
      </w:r>
      <w:r w:rsidR="00C05A56">
        <w:rPr>
          <w:rFonts w:cs="Arial"/>
          <w:lang w:val="en-GB"/>
        </w:rPr>
        <w:t xml:space="preserve"> Moreover, </w:t>
      </w:r>
      <w:r w:rsidR="00C2384E">
        <w:rPr>
          <w:rFonts w:cs="Arial"/>
          <w:lang w:val="en-GB"/>
        </w:rPr>
        <w:t>announcements to engage in</w:t>
      </w:r>
      <w:r w:rsidR="00C05A56">
        <w:rPr>
          <w:rFonts w:cs="Arial"/>
          <w:lang w:val="en-GB"/>
        </w:rPr>
        <w:t xml:space="preserve"> non-financial reporting </w:t>
      </w:r>
      <w:r w:rsidR="008A42E3">
        <w:rPr>
          <w:rFonts w:cs="Arial"/>
          <w:lang w:val="en-GB"/>
        </w:rPr>
        <w:t>are absent</w:t>
      </w:r>
      <w:r w:rsidR="00C05A56">
        <w:rPr>
          <w:rFonts w:cs="Arial"/>
          <w:lang w:val="en-GB"/>
        </w:rPr>
        <w:t xml:space="preserve"> </w:t>
      </w:r>
      <w:r w:rsidR="008A42E3">
        <w:rPr>
          <w:rFonts w:cs="Arial"/>
          <w:lang w:val="en-GB"/>
        </w:rPr>
        <w:t xml:space="preserve">in current policies or </w:t>
      </w:r>
      <w:r w:rsidR="00C05A56">
        <w:rPr>
          <w:rFonts w:cs="Arial"/>
          <w:lang w:val="en-GB"/>
        </w:rPr>
        <w:t>information disclosure polic</w:t>
      </w:r>
      <w:r w:rsidR="008A42E3">
        <w:rPr>
          <w:rFonts w:cs="Arial"/>
          <w:lang w:val="en-GB"/>
        </w:rPr>
        <w:t>ies</w:t>
      </w:r>
      <w:r w:rsidR="00C05A56">
        <w:rPr>
          <w:rFonts w:cs="Arial"/>
          <w:lang w:val="en-GB"/>
        </w:rPr>
        <w:t xml:space="preserve"> (</w:t>
      </w:r>
      <w:r w:rsidR="008A42E3">
        <w:rPr>
          <w:rFonts w:cs="Arial"/>
          <w:lang w:val="en-GB"/>
        </w:rPr>
        <w:t xml:space="preserve">e.g., </w:t>
      </w:r>
      <w:r w:rsidR="00C05A56">
        <w:rPr>
          <w:rFonts w:cs="Arial"/>
          <w:lang w:val="en-GB"/>
        </w:rPr>
        <w:t>Atradius DSB, n.d.).</w:t>
      </w:r>
      <w:r w:rsidR="0028359E">
        <w:rPr>
          <w:rFonts w:cs="Arial"/>
          <w:lang w:val="en-GB"/>
        </w:rPr>
        <w:t xml:space="preserve"> This is why we score</w:t>
      </w:r>
      <w:r w:rsidR="00474B8D">
        <w:rPr>
          <w:rFonts w:cs="Arial"/>
          <w:lang w:val="en-GB"/>
        </w:rPr>
        <w:t>d</w:t>
      </w:r>
      <w:r w:rsidR="0028359E">
        <w:rPr>
          <w:rFonts w:cs="Arial"/>
          <w:lang w:val="en-GB"/>
        </w:rPr>
        <w:t xml:space="preserve"> </w:t>
      </w:r>
      <w:r w:rsidR="00A4485A">
        <w:rPr>
          <w:rFonts w:cs="Arial"/>
          <w:lang w:val="en-GB"/>
        </w:rPr>
        <w:t xml:space="preserve">Q1.1 </w:t>
      </w:r>
      <w:r w:rsidR="0028359E">
        <w:rPr>
          <w:rFonts w:cs="Arial"/>
          <w:lang w:val="en-GB"/>
        </w:rPr>
        <w:t>with ‘Unaligned’.</w:t>
      </w:r>
      <w:r w:rsidR="003226A7">
        <w:rPr>
          <w:rFonts w:cs="Arial"/>
          <w:lang w:val="en-GB"/>
        </w:rPr>
        <w:t xml:space="preserve"> </w:t>
      </w:r>
      <w:r w:rsidR="0065146B">
        <w:rPr>
          <w:rFonts w:cs="Arial"/>
          <w:lang w:val="en-GB"/>
        </w:rPr>
        <w:t xml:space="preserve">Only for Category A </w:t>
      </w:r>
      <w:r w:rsidR="008B5E96">
        <w:rPr>
          <w:rFonts w:cs="Arial"/>
          <w:lang w:val="en-GB"/>
        </w:rPr>
        <w:t xml:space="preserve">and B </w:t>
      </w:r>
      <w:r w:rsidR="0065146B">
        <w:rPr>
          <w:rFonts w:cs="Arial"/>
          <w:lang w:val="en-GB"/>
        </w:rPr>
        <w:t>projects</w:t>
      </w:r>
      <w:r w:rsidR="008B5E96">
        <w:rPr>
          <w:rFonts w:cs="Arial"/>
          <w:lang w:val="en-GB"/>
        </w:rPr>
        <w:t xml:space="preserve"> this is different and social and environmental impact assessments are released online at least for a period of 30 days prior to insurance policy issuance (</w:t>
      </w:r>
      <w:r w:rsidR="008B5E96">
        <w:rPr>
          <w:rFonts w:cs="Arial"/>
          <w:i/>
          <w:lang w:val="en-GB"/>
        </w:rPr>
        <w:t>ibid</w:t>
      </w:r>
      <w:r w:rsidR="008B5E96">
        <w:rPr>
          <w:rFonts w:cs="Arial"/>
          <w:lang w:val="en-GB"/>
        </w:rPr>
        <w:t>.).</w:t>
      </w:r>
      <w:r w:rsidR="00226FB6">
        <w:rPr>
          <w:rFonts w:cs="Arial"/>
          <w:lang w:val="en-GB"/>
        </w:rPr>
        <w:t xml:space="preserve"> These assessments can, but are not required, to contain GHG emission</w:t>
      </w:r>
      <w:r w:rsidR="00AE1F47">
        <w:rPr>
          <w:rFonts w:cs="Arial"/>
          <w:lang w:val="en-GB"/>
        </w:rPr>
        <w:t>s reporting</w:t>
      </w:r>
      <w:r w:rsidR="00226FB6">
        <w:rPr>
          <w:rFonts w:cs="Arial"/>
          <w:lang w:val="en-GB"/>
        </w:rPr>
        <w:t>.</w:t>
      </w:r>
      <w:r w:rsidR="00837C11">
        <w:rPr>
          <w:rFonts w:cs="Arial"/>
          <w:lang w:val="en-GB"/>
        </w:rPr>
        <w:t xml:space="preserve"> Moreover, these projects </w:t>
      </w:r>
      <w:r w:rsidR="002418AE">
        <w:rPr>
          <w:rFonts w:cs="Arial"/>
          <w:lang w:val="en-GB"/>
        </w:rPr>
        <w:t xml:space="preserve">only </w:t>
      </w:r>
      <w:r w:rsidR="00837C11">
        <w:rPr>
          <w:rFonts w:cs="Arial"/>
          <w:lang w:val="en-GB"/>
        </w:rPr>
        <w:t>cover about 11% of total policies issued</w:t>
      </w:r>
      <w:r w:rsidR="00605072">
        <w:rPr>
          <w:rFonts w:cs="Arial"/>
          <w:lang w:val="en-GB"/>
        </w:rPr>
        <w:t xml:space="preserve"> under the </w:t>
      </w:r>
      <w:r w:rsidR="00605072" w:rsidRPr="00FC1E5A">
        <w:rPr>
          <w:rFonts w:cs="Arial"/>
          <w:lang w:val="en-GB"/>
        </w:rPr>
        <w:t>export credit insurance facility</w:t>
      </w:r>
      <w:r w:rsidR="005B6F65">
        <w:rPr>
          <w:rFonts w:cs="Arial"/>
          <w:lang w:val="en-GB"/>
        </w:rPr>
        <w:t xml:space="preserve"> </w:t>
      </w:r>
      <w:proofErr w:type="spellStart"/>
      <w:r w:rsidR="005B6F65">
        <w:rPr>
          <w:rFonts w:cs="Arial"/>
          <w:i/>
          <w:lang w:val="en-GB"/>
        </w:rPr>
        <w:t>ekv</w:t>
      </w:r>
      <w:proofErr w:type="spellEnd"/>
      <w:r w:rsidR="002418AE">
        <w:rPr>
          <w:rFonts w:cs="Arial"/>
          <w:i/>
          <w:lang w:val="en-GB"/>
        </w:rPr>
        <w:t xml:space="preserve"> </w:t>
      </w:r>
      <w:r w:rsidR="002418AE">
        <w:rPr>
          <w:rFonts w:cs="Arial"/>
          <w:lang w:val="en-GB"/>
        </w:rPr>
        <w:t>(combined aver</w:t>
      </w:r>
      <w:r w:rsidR="0002575C">
        <w:rPr>
          <w:rFonts w:cs="Arial"/>
          <w:lang w:val="en-GB"/>
        </w:rPr>
        <w:t>a</w:t>
      </w:r>
      <w:r w:rsidR="002418AE">
        <w:rPr>
          <w:rFonts w:cs="Arial"/>
          <w:lang w:val="en-GB"/>
        </w:rPr>
        <w:t>ge of the last three years)</w:t>
      </w:r>
      <w:r w:rsidR="00B125F6">
        <w:rPr>
          <w:rFonts w:cs="Arial"/>
          <w:lang w:val="en-GB"/>
        </w:rPr>
        <w:t>, i.e.,</w:t>
      </w:r>
      <w:r w:rsidR="00837C11">
        <w:rPr>
          <w:rFonts w:cs="Arial"/>
          <w:lang w:val="en-GB"/>
        </w:rPr>
        <w:t xml:space="preserve"> only a fraction of the portfolio</w:t>
      </w:r>
      <w:r w:rsidR="00605072">
        <w:rPr>
          <w:rFonts w:cs="Arial"/>
          <w:lang w:val="en-GB"/>
        </w:rPr>
        <w:t>.</w:t>
      </w:r>
      <w:r w:rsidR="007E4A9C">
        <w:rPr>
          <w:rFonts w:cs="Arial"/>
          <w:lang w:val="en-GB"/>
        </w:rPr>
        <w:t xml:space="preserve"> </w:t>
      </w:r>
    </w:p>
    <w:p w14:paraId="1E651949" w14:textId="77777777" w:rsidR="00F736F9" w:rsidRDefault="00745FFD" w:rsidP="0065146B">
      <w:pPr>
        <w:spacing w:before="120" w:after="0"/>
        <w:rPr>
          <w:rFonts w:cs="Arial"/>
          <w:lang w:val="en-GB"/>
        </w:rPr>
      </w:pPr>
      <w:r>
        <w:rPr>
          <w:rFonts w:cs="Arial"/>
          <w:lang w:val="en-GB"/>
        </w:rPr>
        <w:lastRenderedPageBreak/>
        <w:t>One example for GHG accounting at</w:t>
      </w:r>
      <w:r w:rsidR="002E00E3">
        <w:rPr>
          <w:rFonts w:cs="Arial"/>
          <w:lang w:val="en-GB"/>
        </w:rPr>
        <w:t xml:space="preserve"> </w:t>
      </w:r>
      <w:r>
        <w:rPr>
          <w:rFonts w:cs="Arial"/>
          <w:lang w:val="en-GB"/>
        </w:rPr>
        <w:t xml:space="preserve">portfolio level comes from the French </w:t>
      </w:r>
      <w:r w:rsidR="003A6BFC">
        <w:rPr>
          <w:rFonts w:cs="Arial"/>
          <w:lang w:val="en-GB"/>
        </w:rPr>
        <w:t xml:space="preserve">ECA </w:t>
      </w:r>
      <w:proofErr w:type="spellStart"/>
      <w:r w:rsidR="00E53832">
        <w:rPr>
          <w:rFonts w:cs="Arial"/>
          <w:lang w:val="en-GB"/>
        </w:rPr>
        <w:t>B</w:t>
      </w:r>
      <w:r>
        <w:rPr>
          <w:rFonts w:cs="Arial"/>
          <w:lang w:val="en-GB"/>
        </w:rPr>
        <w:t>pifrance</w:t>
      </w:r>
      <w:proofErr w:type="spellEnd"/>
      <w:r>
        <w:rPr>
          <w:rFonts w:cs="Arial"/>
          <w:lang w:val="en-GB"/>
        </w:rPr>
        <w:t xml:space="preserve"> which attempted to attribute GHG emissions to six asset classes of its portfolio </w:t>
      </w:r>
      <w:r w:rsidRPr="00FC1E5A">
        <w:rPr>
          <w:rFonts w:cs="Arial"/>
          <w:lang w:val="en-GB"/>
        </w:rPr>
        <w:t>(</w:t>
      </w:r>
      <w:proofErr w:type="spellStart"/>
      <w:r w:rsidRPr="00FC1E5A">
        <w:rPr>
          <w:rFonts w:cs="Arial"/>
          <w:lang w:val="en-GB"/>
        </w:rPr>
        <w:t>Gondjian</w:t>
      </w:r>
      <w:proofErr w:type="spellEnd"/>
      <w:r w:rsidRPr="00FC1E5A">
        <w:rPr>
          <w:rFonts w:cs="Arial"/>
          <w:lang w:val="en-GB"/>
        </w:rPr>
        <w:t xml:space="preserve"> and Merle 2020</w:t>
      </w:r>
      <w:r w:rsidR="00E23A6B">
        <w:rPr>
          <w:rFonts w:cs="Arial"/>
          <w:lang w:val="en-GB"/>
        </w:rPr>
        <w:t xml:space="preserve"> or</w:t>
      </w:r>
      <w:r w:rsidR="00F91F8D">
        <w:rPr>
          <w:rFonts w:cs="Arial"/>
          <w:lang w:val="en-GB"/>
        </w:rPr>
        <w:t xml:space="preserve"> </w:t>
      </w:r>
      <w:proofErr w:type="spellStart"/>
      <w:r w:rsidR="00F91F8D">
        <w:rPr>
          <w:rFonts w:cs="Arial"/>
          <w:lang w:val="en-GB"/>
        </w:rPr>
        <w:t>Bpifrance</w:t>
      </w:r>
      <w:proofErr w:type="spellEnd"/>
      <w:r w:rsidR="00F91F8D">
        <w:rPr>
          <w:rFonts w:cs="Arial"/>
          <w:lang w:val="en-GB"/>
        </w:rPr>
        <w:t xml:space="preserve"> 2020</w:t>
      </w:r>
      <w:r w:rsidR="00756C0A">
        <w:rPr>
          <w:rFonts w:cs="Arial"/>
          <w:lang w:val="en-GB"/>
        </w:rPr>
        <w:t xml:space="preserve">; for a general approach to the attribution of emissions to finance actors see </w:t>
      </w:r>
      <w:r w:rsidR="003C704B" w:rsidRPr="003C704B">
        <w:rPr>
          <w:rFonts w:cs="Arial"/>
          <w:lang w:val="en-GB"/>
        </w:rPr>
        <w:t>the Partnership for Carbon Accounting Financials (PCAF)</w:t>
      </w:r>
      <w:r w:rsidR="00756C0A">
        <w:rPr>
          <w:rFonts w:cs="Arial"/>
          <w:lang w:val="en-GB"/>
        </w:rPr>
        <w:t xml:space="preserve"> 2020</w:t>
      </w:r>
      <w:r w:rsidRPr="00FC1E5A">
        <w:rPr>
          <w:rFonts w:cs="Arial"/>
          <w:lang w:val="en-GB"/>
        </w:rPr>
        <w:t>)</w:t>
      </w:r>
      <w:r>
        <w:rPr>
          <w:rFonts w:cs="Arial"/>
          <w:lang w:val="en-GB"/>
        </w:rPr>
        <w:t>.</w:t>
      </w:r>
      <w:r w:rsidR="00424654">
        <w:rPr>
          <w:rFonts w:cs="Arial"/>
          <w:lang w:val="en-GB"/>
        </w:rPr>
        <w:t xml:space="preserve"> In fact, </w:t>
      </w:r>
      <w:r w:rsidR="004F1FFE">
        <w:rPr>
          <w:rFonts w:cs="Arial"/>
          <w:lang w:val="en-GB"/>
        </w:rPr>
        <w:t xml:space="preserve">PCAF </w:t>
      </w:r>
      <w:r w:rsidR="00424654">
        <w:rPr>
          <w:rFonts w:cs="Arial"/>
          <w:lang w:val="en-GB"/>
        </w:rPr>
        <w:t>now collaborates with the UN-convened Net Zero Insurance Alliance</w:t>
      </w:r>
      <w:r w:rsidR="006B0B92">
        <w:rPr>
          <w:rStyle w:val="Funotenzeichen"/>
          <w:lang w:val="en-GB"/>
        </w:rPr>
        <w:footnoteReference w:id="10"/>
      </w:r>
      <w:r w:rsidR="006B0B92">
        <w:rPr>
          <w:rFonts w:cs="Arial"/>
          <w:lang w:val="en-GB"/>
        </w:rPr>
        <w:t xml:space="preserve"> </w:t>
      </w:r>
      <w:r w:rsidR="00424654">
        <w:rPr>
          <w:rFonts w:cs="Arial"/>
          <w:lang w:val="en-GB"/>
        </w:rPr>
        <w:t>with the objective of developing a standard to measure insured emissions</w:t>
      </w:r>
      <w:r w:rsidR="00E42006">
        <w:rPr>
          <w:rFonts w:cs="Arial"/>
          <w:lang w:val="en-GB"/>
        </w:rPr>
        <w:t>, which highlights the feasibility of introducing GHG accounting in ECAs</w:t>
      </w:r>
      <w:r w:rsidR="00424654">
        <w:rPr>
          <w:rFonts w:cs="Arial"/>
          <w:lang w:val="en-GB"/>
        </w:rPr>
        <w:t xml:space="preserve"> (PCAF 2021).</w:t>
      </w:r>
      <w:r>
        <w:rPr>
          <w:rFonts w:cs="Arial"/>
          <w:lang w:val="en-GB"/>
        </w:rPr>
        <w:t xml:space="preserve"> </w:t>
      </w:r>
    </w:p>
    <w:p w14:paraId="2787D2B3" w14:textId="77777777" w:rsidR="008D0587" w:rsidRDefault="0062590A" w:rsidP="0065146B">
      <w:pPr>
        <w:spacing w:before="120" w:after="0"/>
        <w:rPr>
          <w:rFonts w:cs="Arial"/>
          <w:lang w:val="en-GB"/>
        </w:rPr>
      </w:pPr>
      <w:r>
        <w:rPr>
          <w:rFonts w:cs="Arial"/>
          <w:lang w:val="en-GB"/>
        </w:rPr>
        <w:t>We recommend</w:t>
      </w:r>
      <w:r w:rsidR="00522034">
        <w:rPr>
          <w:rFonts w:cs="Arial"/>
          <w:lang w:val="en-GB"/>
        </w:rPr>
        <w:t xml:space="preserve"> following the latest developments and </w:t>
      </w:r>
      <w:r w:rsidR="00D84864">
        <w:rPr>
          <w:rFonts w:cs="Arial"/>
          <w:lang w:val="en-GB"/>
        </w:rPr>
        <w:t>pursuing</w:t>
      </w:r>
      <w:r>
        <w:rPr>
          <w:rFonts w:cs="Arial"/>
          <w:lang w:val="en-GB"/>
        </w:rPr>
        <w:t xml:space="preserve"> pioneering efforts to </w:t>
      </w:r>
      <w:r w:rsidR="003F3D4E">
        <w:rPr>
          <w:rFonts w:cs="Arial"/>
          <w:lang w:val="en-GB"/>
        </w:rPr>
        <w:t xml:space="preserve">measuring and attributing </w:t>
      </w:r>
      <w:r w:rsidR="00632E1C">
        <w:rPr>
          <w:rFonts w:cs="Arial"/>
          <w:lang w:val="en-GB"/>
        </w:rPr>
        <w:t xml:space="preserve">GHG </w:t>
      </w:r>
      <w:r w:rsidR="003F3D4E">
        <w:rPr>
          <w:rFonts w:cs="Arial"/>
          <w:lang w:val="en-GB"/>
        </w:rPr>
        <w:t xml:space="preserve">emissions </w:t>
      </w:r>
      <w:r w:rsidR="00E445BE">
        <w:rPr>
          <w:rFonts w:cs="Arial"/>
          <w:lang w:val="en-GB"/>
        </w:rPr>
        <w:t xml:space="preserve">linked to </w:t>
      </w:r>
      <w:r w:rsidR="00FA11C7">
        <w:rPr>
          <w:rFonts w:cs="Arial"/>
          <w:lang w:val="en-GB"/>
        </w:rPr>
        <w:t xml:space="preserve">the export of </w:t>
      </w:r>
      <w:r w:rsidR="00762476" w:rsidRPr="00762476">
        <w:rPr>
          <w:rFonts w:cs="Arial"/>
          <w:lang w:val="en-GB"/>
        </w:rPr>
        <w:t xml:space="preserve">officially supported </w:t>
      </w:r>
      <w:r w:rsidR="00FA11C7">
        <w:rPr>
          <w:rFonts w:cs="Arial"/>
          <w:lang w:val="en-GB"/>
        </w:rPr>
        <w:t xml:space="preserve">Dutch goods or services with </w:t>
      </w:r>
      <w:r w:rsidR="00632E1C">
        <w:rPr>
          <w:rFonts w:cs="Arial"/>
          <w:lang w:val="en-GB"/>
        </w:rPr>
        <w:t>a view of</w:t>
      </w:r>
      <w:r w:rsidR="00FA11C7">
        <w:rPr>
          <w:rFonts w:cs="Arial"/>
          <w:lang w:val="en-GB"/>
        </w:rPr>
        <w:t xml:space="preserve"> establishing a robust and first-best decision</w:t>
      </w:r>
      <w:r w:rsidR="00632E1C">
        <w:rPr>
          <w:rFonts w:cs="Arial"/>
          <w:lang w:val="en-GB"/>
        </w:rPr>
        <w:t>-</w:t>
      </w:r>
      <w:r w:rsidR="00FA11C7">
        <w:rPr>
          <w:rFonts w:cs="Arial"/>
          <w:lang w:val="en-GB"/>
        </w:rPr>
        <w:t xml:space="preserve">making basis for </w:t>
      </w:r>
      <w:r w:rsidR="00436125" w:rsidRPr="00436125">
        <w:rPr>
          <w:rFonts w:cs="Arial"/>
          <w:lang w:val="en-GB"/>
        </w:rPr>
        <w:t xml:space="preserve">climate-related policies in </w:t>
      </w:r>
      <w:r w:rsidR="00FA11C7">
        <w:rPr>
          <w:rFonts w:cs="Arial"/>
          <w:lang w:val="en-GB"/>
        </w:rPr>
        <w:t xml:space="preserve">officially supported Dutch export finance. </w:t>
      </w:r>
    </w:p>
    <w:p w14:paraId="20AAD3F4" w14:textId="77777777" w:rsidR="001274B2" w:rsidRPr="00FC1E5A" w:rsidRDefault="00D4443B" w:rsidP="00493C62">
      <w:pPr>
        <w:spacing w:before="120" w:after="0"/>
        <w:rPr>
          <w:rFonts w:cs="Arial"/>
          <w:b/>
          <w:bCs/>
          <w:lang w:val="en-GB"/>
        </w:rPr>
      </w:pPr>
      <w:r>
        <w:rPr>
          <w:rFonts w:cs="Arial"/>
          <w:b/>
          <w:bCs/>
          <w:lang w:val="en-GB"/>
        </w:rPr>
        <w:t>Q</w:t>
      </w:r>
      <w:r w:rsidR="001274B2" w:rsidRPr="00FC1E5A">
        <w:rPr>
          <w:rFonts w:cs="Arial"/>
          <w:b/>
          <w:bCs/>
          <w:lang w:val="en-GB"/>
        </w:rPr>
        <w:t xml:space="preserve">1.2: In how far can the share of fossil fuel finance over total portfolio be assessed? (Financial disclosure) </w:t>
      </w:r>
    </w:p>
    <w:p w14:paraId="5491F096" w14:textId="2A298D88" w:rsidR="00FC000B" w:rsidRPr="00FC1E5A" w:rsidRDefault="00FC000B" w:rsidP="00493C62">
      <w:pPr>
        <w:spacing w:before="120" w:after="0"/>
        <w:rPr>
          <w:rFonts w:cs="Arial"/>
          <w:lang w:val="en-GB"/>
        </w:rPr>
      </w:pPr>
      <w:r>
        <w:rPr>
          <w:rFonts w:cs="Arial"/>
          <w:lang w:val="en-GB"/>
        </w:rPr>
        <w:t xml:space="preserve">On behalf of the Dutch government, Atradius DSB </w:t>
      </w:r>
      <w:r w:rsidR="008328AD">
        <w:rPr>
          <w:rFonts w:cs="Arial"/>
          <w:lang w:val="en-GB"/>
        </w:rPr>
        <w:t>commissioned the development of</w:t>
      </w:r>
      <w:r>
        <w:rPr>
          <w:rFonts w:cs="Arial"/>
          <w:lang w:val="en-GB"/>
        </w:rPr>
        <w:t xml:space="preserve"> a methodology to measure the share of </w:t>
      </w:r>
      <w:r w:rsidR="00D76828" w:rsidRPr="00D76828">
        <w:rPr>
          <w:rFonts w:cs="Arial"/>
          <w:lang w:val="en-GB"/>
        </w:rPr>
        <w:t>fossil fuel</w:t>
      </w:r>
      <w:r w:rsidR="00D777D2">
        <w:rPr>
          <w:rFonts w:cs="Arial"/>
          <w:lang w:val="en-GB"/>
        </w:rPr>
        <w:t>-related activities</w:t>
      </w:r>
      <w:r w:rsidR="00D76828" w:rsidRPr="00D76828">
        <w:rPr>
          <w:rFonts w:cs="Arial"/>
          <w:lang w:val="en-GB"/>
        </w:rPr>
        <w:t xml:space="preserve"> (including their value chains)</w:t>
      </w:r>
      <w:r w:rsidR="00D76828" w:rsidRPr="00D76828" w:rsidDel="00D76828">
        <w:rPr>
          <w:rFonts w:cs="Arial"/>
          <w:lang w:val="en-GB"/>
        </w:rPr>
        <w:t xml:space="preserve"> </w:t>
      </w:r>
      <w:r>
        <w:rPr>
          <w:rFonts w:cs="Arial"/>
          <w:lang w:val="en-GB"/>
        </w:rPr>
        <w:t>over the total portfolio</w:t>
      </w:r>
      <w:r w:rsidR="00D76828">
        <w:rPr>
          <w:rFonts w:cs="Arial"/>
          <w:lang w:val="en-GB"/>
        </w:rPr>
        <w:t>.</w:t>
      </w:r>
      <w:r>
        <w:rPr>
          <w:rFonts w:cs="Arial"/>
          <w:lang w:val="en-GB"/>
        </w:rPr>
        <w:t xml:space="preserve"> </w:t>
      </w:r>
      <w:r w:rsidR="00D76828">
        <w:rPr>
          <w:rFonts w:cs="Arial"/>
          <w:lang w:val="en-GB"/>
        </w:rPr>
        <w:t xml:space="preserve">The results </w:t>
      </w:r>
      <w:r w:rsidR="00C7494A">
        <w:rPr>
          <w:rFonts w:cs="Arial"/>
          <w:lang w:val="en-GB"/>
        </w:rPr>
        <w:t>as well as the underlying methodology</w:t>
      </w:r>
      <w:r w:rsidR="00D76828">
        <w:rPr>
          <w:rFonts w:cs="Arial"/>
          <w:lang w:val="en-GB"/>
        </w:rPr>
        <w:t xml:space="preserve"> </w:t>
      </w:r>
      <w:r w:rsidR="00D55F68">
        <w:rPr>
          <w:rFonts w:cs="Arial"/>
          <w:lang w:val="en-GB"/>
        </w:rPr>
        <w:t>were</w:t>
      </w:r>
      <w:r w:rsidR="00D76828">
        <w:rPr>
          <w:rFonts w:cs="Arial"/>
          <w:lang w:val="en-GB"/>
        </w:rPr>
        <w:t xml:space="preserve"> disclosed</w:t>
      </w:r>
      <w:r w:rsidR="00C7494A">
        <w:rPr>
          <w:rFonts w:cs="Arial"/>
          <w:lang w:val="en-GB"/>
        </w:rPr>
        <w:t xml:space="preserve"> </w:t>
      </w:r>
      <w:r>
        <w:rPr>
          <w:rFonts w:cs="Arial"/>
          <w:lang w:val="en-GB"/>
        </w:rPr>
        <w:t xml:space="preserve">in </w:t>
      </w:r>
      <w:r w:rsidR="00D76828">
        <w:rPr>
          <w:rFonts w:cs="Arial"/>
          <w:lang w:val="en-GB"/>
        </w:rPr>
        <w:t xml:space="preserve">Atradius DSB </w:t>
      </w:r>
      <w:r>
        <w:rPr>
          <w:rFonts w:cs="Arial"/>
          <w:lang w:val="en-GB"/>
        </w:rPr>
        <w:t xml:space="preserve">2020 </w:t>
      </w:r>
      <w:r w:rsidR="00485DB4">
        <w:rPr>
          <w:rFonts w:cs="Arial"/>
          <w:lang w:val="en-GB"/>
        </w:rPr>
        <w:t>A</w:t>
      </w:r>
      <w:r>
        <w:rPr>
          <w:rFonts w:cs="Arial"/>
          <w:lang w:val="en-GB"/>
        </w:rPr>
        <w:t xml:space="preserve">nnual </w:t>
      </w:r>
      <w:r w:rsidR="00485DB4">
        <w:rPr>
          <w:rFonts w:cs="Arial"/>
          <w:lang w:val="en-GB"/>
        </w:rPr>
        <w:t>R</w:t>
      </w:r>
      <w:r>
        <w:rPr>
          <w:rFonts w:cs="Arial"/>
          <w:lang w:val="en-GB"/>
        </w:rPr>
        <w:t>eport (</w:t>
      </w:r>
      <w:r w:rsidR="00732545">
        <w:rPr>
          <w:rFonts w:cs="Arial"/>
          <w:lang w:val="en-GB"/>
        </w:rPr>
        <w:t xml:space="preserve">Atradius DSB 2021a). The Dutch government </w:t>
      </w:r>
      <w:r w:rsidR="00632E1C">
        <w:rPr>
          <w:rFonts w:cs="Arial"/>
          <w:lang w:val="en-GB"/>
        </w:rPr>
        <w:t xml:space="preserve">furthermore </w:t>
      </w:r>
      <w:r w:rsidR="00732545">
        <w:rPr>
          <w:rFonts w:cs="Arial"/>
          <w:lang w:val="en-GB"/>
        </w:rPr>
        <w:t xml:space="preserve">included the findings in their </w:t>
      </w:r>
      <w:r w:rsidR="00485DB4">
        <w:rPr>
          <w:rFonts w:cs="Arial"/>
          <w:lang w:val="en-GB"/>
        </w:rPr>
        <w:t>A</w:t>
      </w:r>
      <w:r w:rsidR="00732545">
        <w:rPr>
          <w:rFonts w:cs="Arial"/>
          <w:lang w:val="en-GB"/>
        </w:rPr>
        <w:t xml:space="preserve">nnual </w:t>
      </w:r>
      <w:r w:rsidR="00485DB4">
        <w:rPr>
          <w:rFonts w:cs="Arial"/>
          <w:lang w:val="en-GB"/>
        </w:rPr>
        <w:t>M</w:t>
      </w:r>
      <w:r w:rsidR="00732545">
        <w:rPr>
          <w:rFonts w:cs="Arial"/>
          <w:lang w:val="en-GB"/>
        </w:rPr>
        <w:t xml:space="preserve">onitor </w:t>
      </w:r>
      <w:r w:rsidR="00485DB4">
        <w:rPr>
          <w:rFonts w:cs="Arial"/>
          <w:lang w:val="en-GB"/>
        </w:rPr>
        <w:t>R</w:t>
      </w:r>
      <w:r w:rsidR="00732545">
        <w:rPr>
          <w:rFonts w:cs="Arial"/>
          <w:lang w:val="en-GB"/>
        </w:rPr>
        <w:t>eport from 2020 (</w:t>
      </w:r>
      <w:r w:rsidR="00A85699">
        <w:rPr>
          <w:rFonts w:cs="Arial"/>
          <w:lang w:val="en-GB"/>
        </w:rPr>
        <w:t>Government of the Netherlands 2021b).</w:t>
      </w:r>
      <w:r w:rsidR="006E021D">
        <w:rPr>
          <w:rFonts w:cs="Arial"/>
          <w:lang w:val="en-GB"/>
        </w:rPr>
        <w:t xml:space="preserve"> The purpose of determining the share of fossil fuel-related activities should be seen in the context of potential phase out of support for fossil fuels. Against this background, and g</w:t>
      </w:r>
      <w:r w:rsidR="00E90DC7">
        <w:rPr>
          <w:rFonts w:cs="Arial"/>
          <w:lang w:val="en-GB"/>
        </w:rPr>
        <w:t xml:space="preserve">iven the </w:t>
      </w:r>
      <w:r w:rsidR="002B7081">
        <w:rPr>
          <w:rFonts w:cs="Arial"/>
          <w:lang w:val="en-GB"/>
        </w:rPr>
        <w:t xml:space="preserve">novelty </w:t>
      </w:r>
      <w:r w:rsidR="00E90DC7">
        <w:rPr>
          <w:rFonts w:cs="Arial"/>
          <w:lang w:val="en-GB"/>
        </w:rPr>
        <w:t>and transparency of the approach, we rate</w:t>
      </w:r>
      <w:r w:rsidR="000A3BF9">
        <w:rPr>
          <w:rFonts w:cs="Arial"/>
          <w:lang w:val="en-GB"/>
        </w:rPr>
        <w:t>d</w:t>
      </w:r>
      <w:r w:rsidR="00E90DC7">
        <w:rPr>
          <w:rFonts w:cs="Arial"/>
          <w:lang w:val="en-GB"/>
        </w:rPr>
        <w:t xml:space="preserve"> </w:t>
      </w:r>
      <w:r w:rsidR="006266E4">
        <w:rPr>
          <w:rFonts w:cs="Arial"/>
          <w:lang w:val="en-GB"/>
        </w:rPr>
        <w:t xml:space="preserve">Q1.2 </w:t>
      </w:r>
      <w:r w:rsidR="00B55DFA">
        <w:rPr>
          <w:rFonts w:cs="Arial"/>
          <w:lang w:val="en-GB"/>
        </w:rPr>
        <w:t>as</w:t>
      </w:r>
      <w:r w:rsidR="004913B9">
        <w:rPr>
          <w:rFonts w:cs="Arial"/>
          <w:lang w:val="en-GB"/>
        </w:rPr>
        <w:t xml:space="preserve"> </w:t>
      </w:r>
      <w:r w:rsidR="00C809C9">
        <w:rPr>
          <w:rFonts w:cs="Arial"/>
          <w:lang w:val="en-GB"/>
        </w:rPr>
        <w:t>‘</w:t>
      </w:r>
      <w:r w:rsidR="00AB7B79">
        <w:rPr>
          <w:rFonts w:cs="Arial"/>
          <w:lang w:val="en-GB"/>
        </w:rPr>
        <w:t xml:space="preserve">Paris aligned’ </w:t>
      </w:r>
      <w:r w:rsidR="00540AA5">
        <w:rPr>
          <w:rFonts w:cs="Arial"/>
          <w:lang w:val="en-GB"/>
        </w:rPr>
        <w:t xml:space="preserve">- while at the same time pointing to </w:t>
      </w:r>
      <w:r w:rsidR="002C2AAF">
        <w:rPr>
          <w:rFonts w:cs="Arial"/>
          <w:lang w:val="en-GB"/>
        </w:rPr>
        <w:t xml:space="preserve">some </w:t>
      </w:r>
      <w:r w:rsidR="00540AA5">
        <w:rPr>
          <w:rFonts w:cs="Arial"/>
          <w:lang w:val="en-GB"/>
        </w:rPr>
        <w:t xml:space="preserve">important </w:t>
      </w:r>
      <w:r w:rsidR="007F2502">
        <w:rPr>
          <w:rFonts w:cs="Arial"/>
          <w:lang w:val="en-GB"/>
        </w:rPr>
        <w:t>caveats discussed below</w:t>
      </w:r>
      <w:r w:rsidR="004913B9">
        <w:rPr>
          <w:rFonts w:cs="Arial"/>
          <w:lang w:val="en-GB"/>
        </w:rPr>
        <w:t xml:space="preserve">. </w:t>
      </w:r>
    </w:p>
    <w:p w14:paraId="7DC78620" w14:textId="77777777" w:rsidR="002D566C" w:rsidRDefault="004913B9" w:rsidP="00840355">
      <w:pPr>
        <w:spacing w:before="120" w:after="0"/>
      </w:pPr>
      <w:r>
        <w:rPr>
          <w:rFonts w:cs="Arial"/>
          <w:lang w:val="en-GB"/>
        </w:rPr>
        <w:t xml:space="preserve">We positively note that the methodology includes different stages of fossil fuel value chains, including </w:t>
      </w:r>
      <w:r w:rsidR="001049D8">
        <w:rPr>
          <w:rFonts w:cs="Arial"/>
          <w:lang w:val="en-GB"/>
        </w:rPr>
        <w:t xml:space="preserve">the </w:t>
      </w:r>
      <w:r>
        <w:t xml:space="preserve">extraction phase (upstream), processing phase (midstream) and the use phase (downstream). </w:t>
      </w:r>
      <w:r w:rsidR="0053650C">
        <w:t xml:space="preserve">According to </w:t>
      </w:r>
      <w:r w:rsidR="001049D8">
        <w:t>Atradius DSB</w:t>
      </w:r>
      <w:r w:rsidR="0053650C">
        <w:t xml:space="preserve"> (2021a), most of its</w:t>
      </w:r>
      <w:r w:rsidR="001049D8">
        <w:t xml:space="preserve"> support (~67%) goes to projects which take place in the upstream phase</w:t>
      </w:r>
      <w:r w:rsidR="0053650C">
        <w:t xml:space="preserve">. </w:t>
      </w:r>
      <w:r w:rsidR="00897787">
        <w:t xml:space="preserve">This is notably due to the fact that Dutch companies provide </w:t>
      </w:r>
      <w:r w:rsidR="00E313F3">
        <w:t>internationally leading</w:t>
      </w:r>
      <w:r w:rsidR="000635C0">
        <w:t xml:space="preserve"> ship and dredging</w:t>
      </w:r>
      <w:r w:rsidR="00897787">
        <w:t xml:space="preserve"> technolog</w:t>
      </w:r>
      <w:r w:rsidR="000635C0">
        <w:t>ies</w:t>
      </w:r>
      <w:r w:rsidR="00897787">
        <w:t xml:space="preserve"> </w:t>
      </w:r>
      <w:r w:rsidR="000635C0">
        <w:t xml:space="preserve">which are used in </w:t>
      </w:r>
      <w:r w:rsidR="00A178AD">
        <w:t xml:space="preserve">the extraction and transport phases of </w:t>
      </w:r>
      <w:r w:rsidR="000635C0">
        <w:t>oil and gas.</w:t>
      </w:r>
      <w:r w:rsidR="00994177">
        <w:t xml:space="preserve"> </w:t>
      </w:r>
      <w:r w:rsidR="006B77BC">
        <w:t xml:space="preserve">Moreover, we positively evaluated the fact that </w:t>
      </w:r>
      <w:r w:rsidR="004823C5">
        <w:t xml:space="preserve">the share of fossil fuel-related transactions </w:t>
      </w:r>
      <w:r w:rsidR="00C741BD">
        <w:t xml:space="preserve">is provided for the total stock of commitments outstanding, i.e., </w:t>
      </w:r>
      <w:r w:rsidR="00EE3645">
        <w:t xml:space="preserve">as a share of the </w:t>
      </w:r>
      <w:r w:rsidR="007B4AE2">
        <w:t>EUR</w:t>
      </w:r>
      <w:r w:rsidR="00EE3645">
        <w:t>18.5 billion maximum liability amount for which the Dutch State assumes risk (</w:t>
      </w:r>
      <w:r w:rsidR="005B56DF">
        <w:t>‘</w:t>
      </w:r>
      <w:r w:rsidR="00EE3645">
        <w:t xml:space="preserve">net real </w:t>
      </w:r>
      <w:proofErr w:type="spellStart"/>
      <w:r w:rsidR="00EE3645">
        <w:t>obligo</w:t>
      </w:r>
      <w:proofErr w:type="spellEnd"/>
      <w:r w:rsidR="005B56DF">
        <w:t>’</w:t>
      </w:r>
      <w:r w:rsidR="00EE3645">
        <w:t xml:space="preserve">). </w:t>
      </w:r>
      <w:r w:rsidR="002F6EC5">
        <w:t xml:space="preserve">This is highly important with regards to </w:t>
      </w:r>
      <w:r w:rsidR="007555A8">
        <w:t>capturing</w:t>
      </w:r>
      <w:r w:rsidR="002F6EC5">
        <w:t xml:space="preserve"> the full </w:t>
      </w:r>
      <w:r w:rsidR="0019554F">
        <w:t>magnitude</w:t>
      </w:r>
      <w:r w:rsidR="002F6EC5">
        <w:t xml:space="preserve"> </w:t>
      </w:r>
      <w:r w:rsidR="00F67CB9">
        <w:t xml:space="preserve">of current involvement in fossil fuel </w:t>
      </w:r>
      <w:r w:rsidR="0019554F">
        <w:t>value chains</w:t>
      </w:r>
      <w:r w:rsidR="00F67CB9">
        <w:t xml:space="preserve">, including for past commitments which may have </w:t>
      </w:r>
      <w:r w:rsidR="00B00F02">
        <w:t xml:space="preserve">insurance </w:t>
      </w:r>
      <w:r w:rsidR="00F67CB9">
        <w:t>terms of ten years or more.</w:t>
      </w:r>
      <w:r w:rsidR="0019554F">
        <w:t xml:space="preserve"> </w:t>
      </w:r>
      <w:r w:rsidR="008B20A2">
        <w:t xml:space="preserve">This methodological approach </w:t>
      </w:r>
      <w:r w:rsidR="00A05BFF">
        <w:t>can</w:t>
      </w:r>
      <w:r w:rsidR="00794026">
        <w:t xml:space="preserve"> therefore</w:t>
      </w:r>
      <w:r w:rsidR="008B20A2">
        <w:t xml:space="preserve">, </w:t>
      </w:r>
      <w:r w:rsidR="00DE3208">
        <w:t>in principle</w:t>
      </w:r>
      <w:r w:rsidR="008B20A2">
        <w:t>,</w:t>
      </w:r>
      <w:r w:rsidR="00DE3208">
        <w:t xml:space="preserve"> be deemed</w:t>
      </w:r>
      <w:r w:rsidR="008B20A2">
        <w:t xml:space="preserve"> </w:t>
      </w:r>
      <w:r w:rsidR="008215C2">
        <w:t xml:space="preserve">a </w:t>
      </w:r>
      <w:r w:rsidR="001D55BC">
        <w:t>best practice for other ECAs</w:t>
      </w:r>
      <w:r w:rsidR="002F6DAF">
        <w:t xml:space="preserve">. </w:t>
      </w:r>
    </w:p>
    <w:p w14:paraId="6A717F72" w14:textId="117A0F4C" w:rsidR="001230F5" w:rsidRPr="002923FE" w:rsidRDefault="006678B8" w:rsidP="00493C62">
      <w:pPr>
        <w:spacing w:before="120" w:after="0"/>
        <w:rPr>
          <w:lang w:eastAsia="en-US"/>
        </w:rPr>
      </w:pPr>
      <w:r>
        <w:t>The</w:t>
      </w:r>
      <w:r w:rsidR="00EA053F">
        <w:t xml:space="preserve"> main</w:t>
      </w:r>
      <w:r>
        <w:t xml:space="preserve"> reason why we do not rate </w:t>
      </w:r>
      <w:r w:rsidR="0067751D">
        <w:t xml:space="preserve">this methodology with </w:t>
      </w:r>
      <w:r w:rsidR="00F85415">
        <w:t>the highest score</w:t>
      </w:r>
      <w:r w:rsidR="00632E1C">
        <w:t xml:space="preserve"> (‘</w:t>
      </w:r>
      <w:r w:rsidR="008C1D71">
        <w:t>T</w:t>
      </w:r>
      <w:r w:rsidR="00632E1C">
        <w:t>ransformational’)</w:t>
      </w:r>
      <w:r w:rsidR="00F85415">
        <w:t xml:space="preserve"> is </w:t>
      </w:r>
      <w:r w:rsidR="003408AF">
        <w:t xml:space="preserve">that </w:t>
      </w:r>
      <w:r w:rsidR="00C61F35">
        <w:t xml:space="preserve">it is still impossible for third parties to verify the presented numbers since project-level information is unavailable for the </w:t>
      </w:r>
      <w:r w:rsidR="00632E1C">
        <w:t xml:space="preserve">cumulated </w:t>
      </w:r>
      <w:r w:rsidR="00C61F35">
        <w:t>stock of commitments outstanding</w:t>
      </w:r>
      <w:r w:rsidR="00E918E2">
        <w:t xml:space="preserve"> (also referred to as ‘total portfolio’ or ‘total </w:t>
      </w:r>
      <w:proofErr w:type="spellStart"/>
      <w:r w:rsidR="00E918E2">
        <w:t>obligo</w:t>
      </w:r>
      <w:proofErr w:type="spellEnd"/>
      <w:r w:rsidR="00E918E2">
        <w:t>’, for pure cover ECAs)</w:t>
      </w:r>
      <w:r w:rsidR="00C61F35">
        <w:t>.</w:t>
      </w:r>
      <w:r w:rsidR="00634747">
        <w:t xml:space="preserve"> </w:t>
      </w:r>
      <w:r w:rsidR="00EA45EB">
        <w:t xml:space="preserve">This is especially problematic </w:t>
      </w:r>
      <w:r w:rsidR="009D363C">
        <w:t xml:space="preserve">when indirect support of fossil fuel value chains is concerned, e.g., </w:t>
      </w:r>
      <w:r w:rsidR="00216384">
        <w:t>the exports of products or services which can serve more than one sector</w:t>
      </w:r>
      <w:r w:rsidR="00C32AED">
        <w:t>, such as the construction of a harbor or the export of a ship</w:t>
      </w:r>
      <w:r w:rsidR="00216384">
        <w:t>.</w:t>
      </w:r>
      <w:r w:rsidR="007D3B7C">
        <w:t xml:space="preserve"> </w:t>
      </w:r>
      <w:r w:rsidR="007F2502">
        <w:t>T</w:t>
      </w:r>
      <w:r w:rsidR="00EF6FF1">
        <w:t xml:space="preserve">hese details can lead to substantive variation in the </w:t>
      </w:r>
      <w:r w:rsidR="002B50F7">
        <w:t>level of fossil fuel-related shares over the portfolio</w:t>
      </w:r>
      <w:r w:rsidR="007F2502">
        <w:t>, which</w:t>
      </w:r>
      <w:r w:rsidR="002B50F7">
        <w:t xml:space="preserve"> </w:t>
      </w:r>
      <w:r w:rsidR="002B50F7" w:rsidRPr="008B7778">
        <w:t xml:space="preserve">becomes evident when </w:t>
      </w:r>
      <w:r w:rsidR="002B50F7" w:rsidRPr="008B7778">
        <w:lastRenderedPageBreak/>
        <w:t xml:space="preserve">comparing the </w:t>
      </w:r>
      <w:r w:rsidR="007767DD" w:rsidRPr="008B7778">
        <w:t>numbers</w:t>
      </w:r>
      <w:r w:rsidR="002B50F7" w:rsidRPr="008B7778">
        <w:t xml:space="preserve"> </w:t>
      </w:r>
      <w:r w:rsidR="00BC5C87" w:rsidRPr="008B7778">
        <w:t>reported by</w:t>
      </w:r>
      <w:r w:rsidR="002B50F7" w:rsidRPr="008B7778">
        <w:t xml:space="preserve"> </w:t>
      </w:r>
      <w:r w:rsidR="00C92193" w:rsidRPr="008B7778">
        <w:t>the Government of the Netherlands (2021c)</w:t>
      </w:r>
      <w:r w:rsidR="00A35A2F" w:rsidRPr="008B7778">
        <w:t xml:space="preserve"> and Atradius DSB (2021a)</w:t>
      </w:r>
      <w:r w:rsidR="007767DD" w:rsidRPr="008B7778">
        <w:t xml:space="preserve"> with previous estimates from civil society</w:t>
      </w:r>
      <w:r w:rsidR="00E34FAC" w:rsidRPr="008B7778">
        <w:t xml:space="preserve"> which estimated the fossil share of </w:t>
      </w:r>
      <w:r w:rsidR="00161866" w:rsidRPr="008B7778">
        <w:t xml:space="preserve">all </w:t>
      </w:r>
      <w:r w:rsidR="00E34FAC" w:rsidRPr="008B7778">
        <w:t xml:space="preserve">insurance policies issued </w:t>
      </w:r>
      <w:r w:rsidR="00FF1AC0" w:rsidRPr="008B7778">
        <w:t>between 201</w:t>
      </w:r>
      <w:r w:rsidR="003B1C6F" w:rsidRPr="008B7778">
        <w:t>2</w:t>
      </w:r>
      <w:r w:rsidR="00FF1AC0" w:rsidRPr="008B7778">
        <w:t xml:space="preserve"> and 2018</w:t>
      </w:r>
      <w:r w:rsidR="00576C7B" w:rsidRPr="008B7778">
        <w:t xml:space="preserve"> to be</w:t>
      </w:r>
      <w:r w:rsidR="00E34FAC" w:rsidRPr="008B7778">
        <w:t xml:space="preserve"> more than twice as much</w:t>
      </w:r>
      <w:r w:rsidR="007767DD" w:rsidRPr="008B7778">
        <w:t xml:space="preserve"> (Both ENDS 2019</w:t>
      </w:r>
      <w:r w:rsidR="00EE3BC4" w:rsidRPr="008B7778">
        <w:t>, see more details under Q3.2</w:t>
      </w:r>
      <w:r w:rsidR="007767DD" w:rsidRPr="008B7778">
        <w:t>).</w:t>
      </w:r>
      <w:r w:rsidR="00C61F35" w:rsidRPr="008B7778">
        <w:t xml:space="preserve"> </w:t>
      </w:r>
      <w:r w:rsidR="00CC764A">
        <w:t>The difference of the two estimates is</w:t>
      </w:r>
      <w:r w:rsidR="000F007F">
        <w:t xml:space="preserve"> stark </w:t>
      </w:r>
      <w:r w:rsidR="0015361B">
        <w:t xml:space="preserve">- </w:t>
      </w:r>
      <w:r w:rsidR="000F007F">
        <w:t xml:space="preserve">which underpins the necessity to clarify the remaining gaps in the exact measurement of the share of fossil fuel-related activities, especially the </w:t>
      </w:r>
      <w:r w:rsidR="009B1DF9">
        <w:t>classification of activities</w:t>
      </w:r>
      <w:r w:rsidR="00E91173">
        <w:t xml:space="preserve"> which are</w:t>
      </w:r>
      <w:r w:rsidR="009B1DF9">
        <w:t xml:space="preserve"> indirectly or </w:t>
      </w:r>
      <w:r w:rsidR="006A680A">
        <w:t xml:space="preserve">through </w:t>
      </w:r>
      <w:r w:rsidR="009B1DF9">
        <w:t xml:space="preserve">intermediaries (such as subcontractors) </w:t>
      </w:r>
      <w:r w:rsidR="00BE2498">
        <w:t>linked to</w:t>
      </w:r>
      <w:r w:rsidR="00783159">
        <w:t xml:space="preserve"> the defined</w:t>
      </w:r>
      <w:r w:rsidR="00BE2498">
        <w:t xml:space="preserve"> fossil fuel-related value chains</w:t>
      </w:r>
      <w:r w:rsidR="004B492D">
        <w:t>, which is not fully clarified in the methodology</w:t>
      </w:r>
      <w:r w:rsidR="00D1454B">
        <w:t xml:space="preserve"> (see </w:t>
      </w:r>
      <w:r w:rsidR="00105603">
        <w:t>also Q3.2)</w:t>
      </w:r>
      <w:r w:rsidR="00BE2498">
        <w:t>.</w:t>
      </w:r>
      <w:r w:rsidR="00F00B4D">
        <w:t xml:space="preserve"> Lastly</w:t>
      </w:r>
      <w:r w:rsidR="00C61F35">
        <w:t xml:space="preserve">, </w:t>
      </w:r>
      <w:r w:rsidR="0043018B">
        <w:t xml:space="preserve">we consider it misleading to classify different types of fossil fuels </w:t>
      </w:r>
      <w:r w:rsidR="006D2602">
        <w:t xml:space="preserve">into </w:t>
      </w:r>
      <w:r w:rsidR="00430623">
        <w:t xml:space="preserve">the </w:t>
      </w:r>
      <w:r w:rsidR="006D2602">
        <w:t xml:space="preserve">vague categories of </w:t>
      </w:r>
      <w:r w:rsidR="00430623">
        <w:t>“</w:t>
      </w:r>
      <w:r w:rsidR="00430623" w:rsidRPr="00846359">
        <w:rPr>
          <w:i/>
        </w:rPr>
        <w:t>heavy potential contribution to climate change</w:t>
      </w:r>
      <w:r w:rsidR="00430623">
        <w:t>” (for coal), “</w:t>
      </w:r>
      <w:r w:rsidR="00430623" w:rsidRPr="00846359">
        <w:rPr>
          <w:i/>
          <w:lang w:eastAsia="en-US"/>
        </w:rPr>
        <w:t>medium potential contributor to climate change</w:t>
      </w:r>
      <w:r w:rsidR="00430623">
        <w:rPr>
          <w:lang w:eastAsia="en-US"/>
        </w:rPr>
        <w:t>” (for oil) and “</w:t>
      </w:r>
      <w:r w:rsidR="00430623" w:rsidRPr="00846359">
        <w:rPr>
          <w:i/>
          <w:lang w:eastAsia="en-US"/>
        </w:rPr>
        <w:t>moderate potential contributor to climate change</w:t>
      </w:r>
      <w:r w:rsidR="00430623">
        <w:rPr>
          <w:lang w:eastAsia="en-US"/>
        </w:rPr>
        <w:t>” (for natural gas).</w:t>
      </w:r>
      <w:r w:rsidR="00254F88">
        <w:rPr>
          <w:lang w:eastAsia="en-US"/>
        </w:rPr>
        <w:t xml:space="preserve"> </w:t>
      </w:r>
      <w:r w:rsidR="001A0D07" w:rsidRPr="001A0D07">
        <w:rPr>
          <w:lang w:eastAsia="en-US"/>
        </w:rPr>
        <w:t xml:space="preserve">The Dutch ECA justifies its approach with the varying emission intensities </w:t>
      </w:r>
      <w:r w:rsidR="001A0D07">
        <w:rPr>
          <w:lang w:eastAsia="en-US"/>
        </w:rPr>
        <w:t>(</w:t>
      </w:r>
      <w:r w:rsidR="001A0D07" w:rsidRPr="00254F88">
        <w:rPr>
          <w:lang w:eastAsia="en-US"/>
        </w:rPr>
        <w:t>CO</w:t>
      </w:r>
      <w:r w:rsidR="001A0D07" w:rsidRPr="000807D8">
        <w:rPr>
          <w:vertAlign w:val="subscript"/>
          <w:lang w:eastAsia="en-US"/>
        </w:rPr>
        <w:t>2</w:t>
      </w:r>
      <w:r w:rsidR="001A0D07" w:rsidRPr="00254F88">
        <w:rPr>
          <w:lang w:eastAsia="en-US"/>
        </w:rPr>
        <w:t>e/kWh</w:t>
      </w:r>
      <w:r w:rsidR="001A0D07">
        <w:rPr>
          <w:lang w:eastAsia="en-US"/>
        </w:rPr>
        <w:t xml:space="preserve">) </w:t>
      </w:r>
      <w:r w:rsidR="001A0D07" w:rsidRPr="001A0D07">
        <w:rPr>
          <w:lang w:eastAsia="en-US"/>
        </w:rPr>
        <w:t>of the individual fossil fuels.</w:t>
      </w:r>
      <w:r w:rsidR="00BC585B">
        <w:rPr>
          <w:lang w:eastAsia="en-US"/>
        </w:rPr>
        <w:t xml:space="preserve"> </w:t>
      </w:r>
      <w:r w:rsidR="0034398A">
        <w:rPr>
          <w:lang w:eastAsia="en-US"/>
        </w:rPr>
        <w:t>T</w:t>
      </w:r>
      <w:r w:rsidR="00BC585B" w:rsidRPr="00BC585B">
        <w:rPr>
          <w:lang w:eastAsia="en-US"/>
        </w:rPr>
        <w:t>his reasoning is</w:t>
      </w:r>
      <w:r w:rsidR="0034398A">
        <w:rPr>
          <w:lang w:eastAsia="en-US"/>
        </w:rPr>
        <w:t>, however,</w:t>
      </w:r>
      <w:r w:rsidR="00BC585B" w:rsidRPr="00BC585B">
        <w:rPr>
          <w:lang w:eastAsia="en-US"/>
        </w:rPr>
        <w:t xml:space="preserve"> oversimplified. For one thing, the effect on climate change depends not only on the fuel but also crucially on the technology used. For example, this ranking would not apply if one compared an </w:t>
      </w:r>
      <w:r w:rsidR="00BC585B">
        <w:rPr>
          <w:lang w:eastAsia="en-US"/>
        </w:rPr>
        <w:t>u</w:t>
      </w:r>
      <w:r w:rsidR="00BC585B" w:rsidRPr="00BC585B">
        <w:rPr>
          <w:lang w:eastAsia="en-US"/>
        </w:rPr>
        <w:t>ltra-</w:t>
      </w:r>
      <w:r w:rsidR="00BC585B">
        <w:rPr>
          <w:lang w:eastAsia="en-US"/>
        </w:rPr>
        <w:t>s</w:t>
      </w:r>
      <w:r w:rsidR="00BC585B" w:rsidRPr="00BC585B">
        <w:rPr>
          <w:lang w:eastAsia="en-US"/>
        </w:rPr>
        <w:t xml:space="preserve">upercritical coal-fired power plant with an old natural gas power plant. Furthermore, oil is difficult to compare with the other two fuels in terms of power generation, as oil is mainly used in the transport sector </w:t>
      </w:r>
      <w:r w:rsidR="00BC585B">
        <w:rPr>
          <w:lang w:eastAsia="en-US"/>
        </w:rPr>
        <w:t xml:space="preserve">and </w:t>
      </w:r>
      <w:r w:rsidR="00BC585B" w:rsidRPr="00BC585B">
        <w:rPr>
          <w:lang w:eastAsia="en-US"/>
        </w:rPr>
        <w:t>rarely for power generation</w:t>
      </w:r>
      <w:r w:rsidR="0034398A">
        <w:rPr>
          <w:lang w:eastAsia="en-US"/>
        </w:rPr>
        <w:t>, and even for the latter its carbon intensity is close the level of coal</w:t>
      </w:r>
      <w:r w:rsidR="00BC585B" w:rsidRPr="00BC585B">
        <w:rPr>
          <w:lang w:eastAsia="en-US"/>
        </w:rPr>
        <w:t xml:space="preserve">. Finally, the most decisive counterargument here is that in the </w:t>
      </w:r>
      <w:r w:rsidR="00BC585B">
        <w:rPr>
          <w:lang w:eastAsia="en-US"/>
        </w:rPr>
        <w:t>p</w:t>
      </w:r>
      <w:r w:rsidR="00BC585B" w:rsidRPr="00BC585B">
        <w:rPr>
          <w:lang w:eastAsia="en-US"/>
        </w:rPr>
        <w:t xml:space="preserve">ost-Paris world with Net Zero Targets, one can no longer choose the "lesser evil" when it comes to energy sources. The IEA report </w:t>
      </w:r>
      <w:r w:rsidR="00BC585B">
        <w:rPr>
          <w:lang w:eastAsia="en-US"/>
        </w:rPr>
        <w:t xml:space="preserve">(IEA 2021) </w:t>
      </w:r>
      <w:r w:rsidR="00BC585B" w:rsidRPr="00BC585B">
        <w:rPr>
          <w:lang w:eastAsia="en-US"/>
        </w:rPr>
        <w:t xml:space="preserve">clearly shows that </w:t>
      </w:r>
      <w:r w:rsidR="00BC5C87">
        <w:rPr>
          <w:lang w:eastAsia="en-US"/>
        </w:rPr>
        <w:t>the</w:t>
      </w:r>
      <w:r w:rsidR="00BC585B" w:rsidRPr="00BC585B">
        <w:rPr>
          <w:lang w:eastAsia="en-US"/>
        </w:rPr>
        <w:t xml:space="preserve"> use</w:t>
      </w:r>
      <w:r w:rsidR="00BC5C87">
        <w:rPr>
          <w:lang w:eastAsia="en-US"/>
        </w:rPr>
        <w:t xml:space="preserve"> of all</w:t>
      </w:r>
      <w:r w:rsidR="00BC585B" w:rsidRPr="00BC585B">
        <w:rPr>
          <w:lang w:eastAsia="en-US"/>
        </w:rPr>
        <w:t xml:space="preserve"> fossil fuels </w:t>
      </w:r>
      <w:r w:rsidR="00BC5C87">
        <w:rPr>
          <w:lang w:eastAsia="en-US"/>
        </w:rPr>
        <w:t xml:space="preserve">has to decline in the coming years </w:t>
      </w:r>
      <w:r w:rsidR="00BC585B" w:rsidRPr="00BC585B">
        <w:rPr>
          <w:lang w:eastAsia="en-US"/>
        </w:rPr>
        <w:t xml:space="preserve">if the declared </w:t>
      </w:r>
      <w:r w:rsidR="00BC585B">
        <w:rPr>
          <w:lang w:eastAsia="en-US"/>
        </w:rPr>
        <w:t>Net Zero targets</w:t>
      </w:r>
      <w:r w:rsidR="00BC585B" w:rsidRPr="00BC585B">
        <w:rPr>
          <w:lang w:eastAsia="en-US"/>
        </w:rPr>
        <w:t xml:space="preserve"> are to be achieved. For this reason alone, </w:t>
      </w:r>
      <w:r w:rsidR="00BC585B">
        <w:rPr>
          <w:lang w:eastAsia="en-US"/>
        </w:rPr>
        <w:t>the classification</w:t>
      </w:r>
      <w:r w:rsidR="00BC585B" w:rsidRPr="00BC585B">
        <w:rPr>
          <w:lang w:eastAsia="en-US"/>
        </w:rPr>
        <w:t xml:space="preserve"> is neither appropriate nor justifiable</w:t>
      </w:r>
      <w:r w:rsidR="00BC585B">
        <w:rPr>
          <w:lang w:eastAsia="en-US"/>
        </w:rPr>
        <w:t>.</w:t>
      </w:r>
      <w:r w:rsidR="00AB7B79">
        <w:rPr>
          <w:lang w:eastAsia="en-US"/>
        </w:rPr>
        <w:t xml:space="preserve"> </w:t>
      </w:r>
      <w:r w:rsidR="006F3CEE">
        <w:rPr>
          <w:lang w:eastAsia="en-US"/>
        </w:rPr>
        <w:t xml:space="preserve">On the grounds of </w:t>
      </w:r>
      <w:r w:rsidR="004A475B">
        <w:rPr>
          <w:lang w:eastAsia="en-US"/>
        </w:rPr>
        <w:t>th</w:t>
      </w:r>
      <w:r w:rsidR="00AB11DF">
        <w:rPr>
          <w:lang w:eastAsia="en-US"/>
        </w:rPr>
        <w:t>e most recent Net Zero pathway released by the IEA (2021) or the IPCC</w:t>
      </w:r>
      <w:r w:rsidR="00CD3809">
        <w:rPr>
          <w:lang w:eastAsia="en-US"/>
        </w:rPr>
        <w:t xml:space="preserve"> (2018)</w:t>
      </w:r>
      <w:r w:rsidR="00AB11DF">
        <w:rPr>
          <w:lang w:eastAsia="en-US"/>
        </w:rPr>
        <w:t xml:space="preserve"> P1 illustrative scenarios this </w:t>
      </w:r>
      <w:r w:rsidR="00C270CF">
        <w:rPr>
          <w:lang w:eastAsia="en-US"/>
        </w:rPr>
        <w:t xml:space="preserve">differentiation </w:t>
      </w:r>
      <w:r w:rsidR="00CD3809">
        <w:rPr>
          <w:lang w:eastAsia="en-US"/>
        </w:rPr>
        <w:t xml:space="preserve">falsely conveys the impression that </w:t>
      </w:r>
      <w:r w:rsidR="00840B27">
        <w:rPr>
          <w:lang w:eastAsia="en-US"/>
        </w:rPr>
        <w:t xml:space="preserve">support for </w:t>
      </w:r>
      <w:r w:rsidR="00CD3809">
        <w:rPr>
          <w:lang w:eastAsia="en-US"/>
        </w:rPr>
        <w:t xml:space="preserve">natural gas </w:t>
      </w:r>
      <w:r w:rsidR="00840B27">
        <w:rPr>
          <w:lang w:eastAsia="en-US"/>
        </w:rPr>
        <w:t xml:space="preserve">value chains would today </w:t>
      </w:r>
      <w:r w:rsidR="00BD4AC8">
        <w:rPr>
          <w:lang w:eastAsia="en-US"/>
        </w:rPr>
        <w:t>be more tenable than for other types of fossil fuels.</w:t>
      </w:r>
      <w:r w:rsidR="00CD3809">
        <w:rPr>
          <w:lang w:eastAsia="en-US"/>
        </w:rPr>
        <w:t xml:space="preserve"> </w:t>
      </w:r>
      <w:r w:rsidR="00F4194B">
        <w:rPr>
          <w:lang w:eastAsia="en-US"/>
        </w:rPr>
        <w:t xml:space="preserve">Against this background, it appears negligent </w:t>
      </w:r>
      <w:r w:rsidR="000726C8">
        <w:rPr>
          <w:lang w:eastAsia="en-US"/>
        </w:rPr>
        <w:t xml:space="preserve">and misleading </w:t>
      </w:r>
      <w:r w:rsidR="00F4194B">
        <w:rPr>
          <w:lang w:eastAsia="en-US"/>
        </w:rPr>
        <w:t xml:space="preserve">to continue </w:t>
      </w:r>
      <w:r w:rsidR="00A7747C">
        <w:rPr>
          <w:lang w:eastAsia="en-US"/>
        </w:rPr>
        <w:t>differenti</w:t>
      </w:r>
      <w:r w:rsidR="000F332C">
        <w:rPr>
          <w:lang w:eastAsia="en-US"/>
        </w:rPr>
        <w:t>ating</w:t>
      </w:r>
      <w:r w:rsidR="00A7747C">
        <w:rPr>
          <w:lang w:eastAsia="en-US"/>
        </w:rPr>
        <w:t xml:space="preserve"> by type of fossil fuel</w:t>
      </w:r>
      <w:r w:rsidR="00F4194B">
        <w:rPr>
          <w:lang w:eastAsia="en-US"/>
        </w:rPr>
        <w:t xml:space="preserve"> when </w:t>
      </w:r>
      <w:r w:rsidR="009373C7">
        <w:rPr>
          <w:lang w:eastAsia="en-US"/>
        </w:rPr>
        <w:t xml:space="preserve">an </w:t>
      </w:r>
      <w:r w:rsidR="00612B53">
        <w:rPr>
          <w:lang w:eastAsia="en-US"/>
        </w:rPr>
        <w:t xml:space="preserve">immediate </w:t>
      </w:r>
      <w:r w:rsidR="009373C7">
        <w:rPr>
          <w:lang w:eastAsia="en-US"/>
        </w:rPr>
        <w:t xml:space="preserve">cease of </w:t>
      </w:r>
      <w:r w:rsidR="00612B53">
        <w:rPr>
          <w:lang w:eastAsia="en-US"/>
        </w:rPr>
        <w:t>support for all new fossil supply infrastructure is needed to increase chances to meet the Paris climate goals</w:t>
      </w:r>
      <w:r w:rsidR="00512646">
        <w:rPr>
          <w:lang w:eastAsia="en-US"/>
        </w:rPr>
        <w:t>, especially given the special responsibility of public finance actors</w:t>
      </w:r>
      <w:r w:rsidR="007F319D">
        <w:rPr>
          <w:lang w:eastAsia="en-US"/>
        </w:rPr>
        <w:t xml:space="preserve"> from early industrialized countries</w:t>
      </w:r>
      <w:r w:rsidR="00F4194B">
        <w:rPr>
          <w:lang w:eastAsia="en-US"/>
        </w:rPr>
        <w:t>.</w:t>
      </w:r>
      <w:r w:rsidR="00A7463F">
        <w:rPr>
          <w:lang w:eastAsia="en-US"/>
        </w:rPr>
        <w:t xml:space="preserve"> </w:t>
      </w:r>
    </w:p>
    <w:p w14:paraId="1F332224" w14:textId="77777777" w:rsidR="0011246D" w:rsidRPr="0011246D" w:rsidRDefault="00100E12" w:rsidP="00493C62">
      <w:pPr>
        <w:spacing w:before="120" w:after="0"/>
        <w:rPr>
          <w:lang w:eastAsia="en-US"/>
        </w:rPr>
      </w:pPr>
      <w:r>
        <w:rPr>
          <w:rFonts w:cs="Arial"/>
          <w:lang w:val="en-GB"/>
        </w:rPr>
        <w:t xml:space="preserve">We recommend </w:t>
      </w:r>
      <w:r w:rsidR="00F42B89">
        <w:rPr>
          <w:rFonts w:cs="Arial"/>
          <w:lang w:val="en-GB"/>
        </w:rPr>
        <w:t>addressing</w:t>
      </w:r>
      <w:r>
        <w:rPr>
          <w:rFonts w:cs="Arial"/>
          <w:lang w:val="en-GB"/>
        </w:rPr>
        <w:t xml:space="preserve"> these caveats in future revisions </w:t>
      </w:r>
      <w:r w:rsidR="003043B1">
        <w:rPr>
          <w:rFonts w:cs="Arial"/>
          <w:lang w:val="en-GB"/>
        </w:rPr>
        <w:t xml:space="preserve">so that </w:t>
      </w:r>
      <w:r>
        <w:rPr>
          <w:rFonts w:cs="Arial"/>
          <w:lang w:val="en-GB"/>
        </w:rPr>
        <w:t>the fossil fuel measurement methodology</w:t>
      </w:r>
      <w:r w:rsidR="003043B1">
        <w:rPr>
          <w:rFonts w:cs="Arial"/>
          <w:lang w:val="en-GB"/>
        </w:rPr>
        <w:t xml:space="preserve"> can </w:t>
      </w:r>
      <w:r w:rsidR="006267B0">
        <w:rPr>
          <w:rFonts w:cs="Arial"/>
          <w:lang w:val="en-GB"/>
        </w:rPr>
        <w:t xml:space="preserve">represent </w:t>
      </w:r>
      <w:r w:rsidR="00A54636">
        <w:rPr>
          <w:rFonts w:cs="Arial"/>
          <w:lang w:val="en-GB"/>
        </w:rPr>
        <w:t>a</w:t>
      </w:r>
      <w:r w:rsidR="000056D9">
        <w:rPr>
          <w:rFonts w:cs="Arial"/>
          <w:lang w:val="en-GB"/>
        </w:rPr>
        <w:t xml:space="preserve">n </w:t>
      </w:r>
      <w:r w:rsidR="000056D9" w:rsidRPr="000056D9">
        <w:rPr>
          <w:rFonts w:cs="Arial"/>
          <w:lang w:val="en-GB"/>
        </w:rPr>
        <w:t>unreserved</w:t>
      </w:r>
      <w:r w:rsidR="000056D9">
        <w:rPr>
          <w:rFonts w:cs="Arial"/>
          <w:lang w:val="en-GB"/>
        </w:rPr>
        <w:t xml:space="preserve"> best practice example</w:t>
      </w:r>
      <w:r>
        <w:rPr>
          <w:rFonts w:cs="Arial"/>
          <w:lang w:val="en-GB"/>
        </w:rPr>
        <w:t>.</w:t>
      </w:r>
    </w:p>
    <w:p w14:paraId="07B17DDF" w14:textId="77777777" w:rsidR="001274B2" w:rsidRPr="00FC1E5A" w:rsidRDefault="001274B2" w:rsidP="00493C62">
      <w:pPr>
        <w:spacing w:before="120" w:after="0"/>
        <w:rPr>
          <w:rFonts w:cs="Arial"/>
          <w:b/>
          <w:bCs/>
          <w:lang w:val="en-GB"/>
        </w:rPr>
      </w:pPr>
      <w:r w:rsidRPr="00FC1E5A">
        <w:rPr>
          <w:rFonts w:cs="Arial"/>
          <w:b/>
          <w:bCs/>
          <w:lang w:val="en-GB"/>
        </w:rPr>
        <w:t xml:space="preserve">Q1.3: In how far can the share of climate finance over total portfolio be assessed? (Financial disclosure) </w:t>
      </w:r>
    </w:p>
    <w:p w14:paraId="3F368FBB" w14:textId="77777777" w:rsidR="00B26EC1" w:rsidRDefault="006266E4" w:rsidP="00A978D2">
      <w:pPr>
        <w:spacing w:before="120" w:after="0"/>
        <w:rPr>
          <w:rFonts w:cs="Arial"/>
          <w:lang w:val="en-GB"/>
        </w:rPr>
      </w:pPr>
      <w:r>
        <w:rPr>
          <w:rFonts w:cs="Arial"/>
          <w:lang w:val="en-GB"/>
        </w:rPr>
        <w:t>The</w:t>
      </w:r>
      <w:r w:rsidR="001274B2" w:rsidRPr="00FC1E5A">
        <w:rPr>
          <w:rFonts w:cs="Arial"/>
          <w:lang w:val="en-GB"/>
        </w:rPr>
        <w:t xml:space="preserve"> </w:t>
      </w:r>
      <w:r>
        <w:rPr>
          <w:rFonts w:cs="Arial"/>
          <w:lang w:val="en-GB"/>
        </w:rPr>
        <w:t xml:space="preserve">disclosure on </w:t>
      </w:r>
      <w:r w:rsidR="001274B2" w:rsidRPr="00FC1E5A">
        <w:rPr>
          <w:rFonts w:cs="Arial"/>
          <w:lang w:val="en-GB"/>
        </w:rPr>
        <w:t>climate finance (Q1.3)</w:t>
      </w:r>
      <w:r w:rsidR="009F3190">
        <w:rPr>
          <w:rFonts w:cs="Arial"/>
          <w:lang w:val="en-GB"/>
        </w:rPr>
        <w:t xml:space="preserve"> </w:t>
      </w:r>
      <w:r w:rsidR="008C2BDC">
        <w:rPr>
          <w:rFonts w:cs="Arial"/>
          <w:lang w:val="en-GB"/>
        </w:rPr>
        <w:t xml:space="preserve">was </w:t>
      </w:r>
      <w:r w:rsidR="009F3190">
        <w:rPr>
          <w:rFonts w:cs="Arial"/>
          <w:lang w:val="en-GB"/>
        </w:rPr>
        <w:t xml:space="preserve">rated </w:t>
      </w:r>
      <w:r w:rsidR="00E57056">
        <w:rPr>
          <w:rFonts w:cs="Arial"/>
          <w:lang w:val="en-GB"/>
        </w:rPr>
        <w:t xml:space="preserve">as </w:t>
      </w:r>
      <w:r w:rsidR="00806BD9">
        <w:rPr>
          <w:rFonts w:cs="Arial"/>
          <w:lang w:val="en-GB"/>
        </w:rPr>
        <w:t>‘</w:t>
      </w:r>
      <w:r w:rsidR="005E4F3F">
        <w:rPr>
          <w:rFonts w:cs="Arial"/>
          <w:lang w:val="en-GB"/>
        </w:rPr>
        <w:t>Some progress</w:t>
      </w:r>
      <w:r w:rsidR="00806BD9">
        <w:rPr>
          <w:rFonts w:cs="Arial"/>
          <w:lang w:val="en-GB"/>
        </w:rPr>
        <w:t>’</w:t>
      </w:r>
      <w:r w:rsidR="0044741B">
        <w:rPr>
          <w:rFonts w:cs="Arial"/>
          <w:lang w:val="en-GB"/>
        </w:rPr>
        <w:t xml:space="preserve">, </w:t>
      </w:r>
      <w:r w:rsidR="00E57056">
        <w:rPr>
          <w:rFonts w:cs="Arial"/>
          <w:lang w:val="en-GB"/>
        </w:rPr>
        <w:t>but</w:t>
      </w:r>
      <w:r w:rsidR="0044741B">
        <w:rPr>
          <w:rFonts w:cs="Arial"/>
          <w:lang w:val="en-GB"/>
        </w:rPr>
        <w:t xml:space="preserve"> with clear potential to becoming </w:t>
      </w:r>
      <w:r w:rsidR="00484141">
        <w:rPr>
          <w:rFonts w:cs="Arial"/>
          <w:lang w:val="en-GB"/>
        </w:rPr>
        <w:t>‘</w:t>
      </w:r>
      <w:r w:rsidR="0044741B">
        <w:rPr>
          <w:rFonts w:cs="Arial"/>
          <w:lang w:val="en-GB"/>
        </w:rPr>
        <w:t>Paris</w:t>
      </w:r>
      <w:r w:rsidR="00564815">
        <w:rPr>
          <w:rFonts w:cs="Arial"/>
          <w:lang w:val="en-GB"/>
        </w:rPr>
        <w:t>-</w:t>
      </w:r>
      <w:r w:rsidR="0044741B">
        <w:rPr>
          <w:rFonts w:cs="Arial"/>
          <w:lang w:val="en-GB"/>
        </w:rPr>
        <w:t>aligned</w:t>
      </w:r>
      <w:r w:rsidR="00484141">
        <w:rPr>
          <w:rFonts w:cs="Arial"/>
          <w:lang w:val="en-GB"/>
        </w:rPr>
        <w:t>’</w:t>
      </w:r>
      <w:r w:rsidR="009F3190">
        <w:rPr>
          <w:rFonts w:cs="Arial"/>
          <w:lang w:val="en-GB"/>
        </w:rPr>
        <w:t xml:space="preserve">. </w:t>
      </w:r>
      <w:r w:rsidR="007A73BD">
        <w:rPr>
          <w:rFonts w:cs="Arial"/>
          <w:lang w:val="en-GB"/>
        </w:rPr>
        <w:t xml:space="preserve">This assessment is provided on the grounds of </w:t>
      </w:r>
      <w:r w:rsidR="007A4476">
        <w:rPr>
          <w:rFonts w:cs="Arial"/>
          <w:lang w:val="en-GB"/>
        </w:rPr>
        <w:t xml:space="preserve">Atradius DSB´s </w:t>
      </w:r>
      <w:r w:rsidR="00862921">
        <w:rPr>
          <w:rFonts w:cs="Arial"/>
          <w:lang w:val="en-GB"/>
        </w:rPr>
        <w:t>own</w:t>
      </w:r>
      <w:r w:rsidR="00D217BB">
        <w:rPr>
          <w:rFonts w:cs="Arial"/>
          <w:lang w:val="en-GB"/>
        </w:rPr>
        <w:t xml:space="preserve"> </w:t>
      </w:r>
      <w:r w:rsidR="001718D3">
        <w:rPr>
          <w:rFonts w:cs="Arial"/>
          <w:lang w:val="en-GB"/>
        </w:rPr>
        <w:t>‘</w:t>
      </w:r>
      <w:r w:rsidR="007A4476">
        <w:rPr>
          <w:rFonts w:cs="Arial"/>
          <w:lang w:val="en-GB"/>
        </w:rPr>
        <w:t>Green Label</w:t>
      </w:r>
      <w:r w:rsidR="001718D3">
        <w:rPr>
          <w:rFonts w:cs="Arial"/>
          <w:lang w:val="en-GB"/>
        </w:rPr>
        <w:t>’</w:t>
      </w:r>
      <w:r w:rsidR="00D217BB">
        <w:rPr>
          <w:rFonts w:cs="Arial"/>
          <w:lang w:val="en-GB"/>
        </w:rPr>
        <w:t xml:space="preserve"> methodology</w:t>
      </w:r>
      <w:r w:rsidR="00703DBF">
        <w:rPr>
          <w:rFonts w:cs="Arial"/>
          <w:lang w:val="en-GB"/>
        </w:rPr>
        <w:t xml:space="preserve"> based on a list of ‘</w:t>
      </w:r>
      <w:r w:rsidR="00CA2380">
        <w:rPr>
          <w:rFonts w:cs="Arial"/>
          <w:lang w:val="en-GB"/>
        </w:rPr>
        <w:t>light</w:t>
      </w:r>
      <w:r w:rsidR="00A45AA5">
        <w:rPr>
          <w:rFonts w:cs="Arial"/>
          <w:lang w:val="en-GB"/>
        </w:rPr>
        <w:t xml:space="preserve"> green</w:t>
      </w:r>
      <w:r w:rsidR="00CA2380">
        <w:rPr>
          <w:rFonts w:cs="Arial"/>
          <w:lang w:val="en-GB"/>
        </w:rPr>
        <w:t>’, ‘medium</w:t>
      </w:r>
      <w:r w:rsidR="00A45AA5">
        <w:rPr>
          <w:rFonts w:cs="Arial"/>
          <w:lang w:val="en-GB"/>
        </w:rPr>
        <w:t xml:space="preserve"> green</w:t>
      </w:r>
      <w:r w:rsidR="00CA2380">
        <w:rPr>
          <w:rFonts w:cs="Arial"/>
          <w:lang w:val="en-GB"/>
        </w:rPr>
        <w:t xml:space="preserve">’ or ‘dark </w:t>
      </w:r>
      <w:r w:rsidR="00703DBF">
        <w:rPr>
          <w:rFonts w:cs="Arial"/>
          <w:lang w:val="en-GB"/>
        </w:rPr>
        <w:t>green’</w:t>
      </w:r>
      <w:r w:rsidR="003B313B">
        <w:rPr>
          <w:rFonts w:cs="Arial"/>
          <w:lang w:val="en-GB"/>
        </w:rPr>
        <w:t xml:space="preserve"> activities</w:t>
      </w:r>
      <w:r w:rsidR="00EB29A7">
        <w:rPr>
          <w:rFonts w:cs="Arial"/>
          <w:lang w:val="en-GB"/>
        </w:rPr>
        <w:t xml:space="preserve"> which was</w:t>
      </w:r>
      <w:r w:rsidR="007A4476">
        <w:rPr>
          <w:rFonts w:cs="Arial"/>
          <w:lang w:val="en-GB"/>
        </w:rPr>
        <w:t xml:space="preserve"> introduced into </w:t>
      </w:r>
      <w:r w:rsidR="00226FBA">
        <w:rPr>
          <w:rFonts w:cs="Arial"/>
          <w:lang w:val="en-GB"/>
        </w:rPr>
        <w:t xml:space="preserve">the </w:t>
      </w:r>
      <w:r w:rsidR="007A4476">
        <w:rPr>
          <w:rFonts w:cs="Arial"/>
          <w:lang w:val="en-GB"/>
        </w:rPr>
        <w:t xml:space="preserve">reporting </w:t>
      </w:r>
      <w:r w:rsidR="0023207C">
        <w:rPr>
          <w:rFonts w:cs="Arial"/>
          <w:lang w:val="en-GB"/>
        </w:rPr>
        <w:t xml:space="preserve">since </w:t>
      </w:r>
      <w:r w:rsidR="007A4476">
        <w:rPr>
          <w:rFonts w:cs="Arial"/>
          <w:lang w:val="en-GB"/>
        </w:rPr>
        <w:t>2019 (Atradius DSB 2020; Atradius DSB 2021a).</w:t>
      </w:r>
      <w:r w:rsidR="00CF07F9">
        <w:rPr>
          <w:rFonts w:cs="Arial"/>
          <w:lang w:val="en-GB"/>
        </w:rPr>
        <w:t xml:space="preserve"> We positively evaluate</w:t>
      </w:r>
      <w:r w:rsidR="00500B3A">
        <w:rPr>
          <w:rFonts w:cs="Arial"/>
          <w:lang w:val="en-GB"/>
        </w:rPr>
        <w:t>d</w:t>
      </w:r>
      <w:r w:rsidR="00CF07F9">
        <w:rPr>
          <w:rFonts w:cs="Arial"/>
          <w:lang w:val="en-GB"/>
        </w:rPr>
        <w:t xml:space="preserve"> </w:t>
      </w:r>
      <w:r w:rsidR="00EF7A91">
        <w:rPr>
          <w:rFonts w:cs="Arial"/>
          <w:lang w:val="en-GB"/>
        </w:rPr>
        <w:t xml:space="preserve">that Atradius DSB´s is </w:t>
      </w:r>
      <w:r w:rsidR="0092792B">
        <w:rPr>
          <w:rFonts w:cs="Arial"/>
          <w:lang w:val="en-GB"/>
        </w:rPr>
        <w:t xml:space="preserve">taking a </w:t>
      </w:r>
      <w:r w:rsidR="00CF07F9">
        <w:rPr>
          <w:rFonts w:cs="Arial"/>
          <w:lang w:val="en-GB"/>
        </w:rPr>
        <w:t xml:space="preserve">broad scope </w:t>
      </w:r>
      <w:r w:rsidR="00D80E86">
        <w:rPr>
          <w:rFonts w:cs="Arial"/>
          <w:lang w:val="en-GB"/>
        </w:rPr>
        <w:t xml:space="preserve">to </w:t>
      </w:r>
      <w:r w:rsidR="00CF07F9">
        <w:rPr>
          <w:rFonts w:cs="Arial"/>
          <w:lang w:val="en-GB"/>
        </w:rPr>
        <w:t xml:space="preserve">‘green’ </w:t>
      </w:r>
      <w:r w:rsidR="00D80E86">
        <w:rPr>
          <w:rFonts w:cs="Arial"/>
          <w:lang w:val="en-GB"/>
        </w:rPr>
        <w:t xml:space="preserve">activities </w:t>
      </w:r>
      <w:r w:rsidR="002F3928">
        <w:rPr>
          <w:rFonts w:cs="Arial"/>
          <w:lang w:val="en-GB"/>
        </w:rPr>
        <w:t>and</w:t>
      </w:r>
      <w:r w:rsidR="00D80E86">
        <w:rPr>
          <w:rFonts w:cs="Arial"/>
          <w:lang w:val="en-GB"/>
        </w:rPr>
        <w:t xml:space="preserve"> </w:t>
      </w:r>
      <w:r w:rsidR="002F37BF">
        <w:rPr>
          <w:rFonts w:cs="Arial"/>
          <w:lang w:val="en-GB"/>
        </w:rPr>
        <w:t>attempts</w:t>
      </w:r>
      <w:r w:rsidR="002F3928">
        <w:rPr>
          <w:rFonts w:cs="Arial"/>
          <w:lang w:val="en-GB"/>
        </w:rPr>
        <w:t xml:space="preserve"> to</w:t>
      </w:r>
      <w:r w:rsidR="00955117">
        <w:rPr>
          <w:rFonts w:cs="Arial"/>
          <w:lang w:val="en-GB"/>
        </w:rPr>
        <w:t xml:space="preserve"> “</w:t>
      </w:r>
      <w:r w:rsidR="00955117" w:rsidRPr="00B448E6">
        <w:rPr>
          <w:rFonts w:cs="Arial"/>
          <w:i/>
          <w:lang w:val="en-GB"/>
        </w:rPr>
        <w:t>generally align</w:t>
      </w:r>
      <w:r w:rsidR="002F3928" w:rsidRPr="00B448E6">
        <w:rPr>
          <w:rFonts w:cs="Arial"/>
          <w:i/>
          <w:lang w:val="en-GB"/>
        </w:rPr>
        <w:t xml:space="preserve"> […]</w:t>
      </w:r>
      <w:r w:rsidR="00955117" w:rsidRPr="00B448E6">
        <w:rPr>
          <w:rFonts w:cs="Arial"/>
          <w:i/>
          <w:lang w:val="en-GB"/>
        </w:rPr>
        <w:t xml:space="preserve"> with the EU Taxonomy</w:t>
      </w:r>
      <w:r w:rsidR="00955117">
        <w:rPr>
          <w:rFonts w:cs="Arial"/>
          <w:lang w:val="en-GB"/>
        </w:rPr>
        <w:t>”</w:t>
      </w:r>
      <w:r w:rsidR="00C35867">
        <w:rPr>
          <w:rFonts w:cs="Arial"/>
          <w:lang w:val="en-GB"/>
        </w:rPr>
        <w:t xml:space="preserve"> </w:t>
      </w:r>
      <w:r w:rsidR="00950EBF">
        <w:rPr>
          <w:rFonts w:cs="Arial"/>
          <w:lang w:val="en-GB"/>
        </w:rPr>
        <w:t>(A</w:t>
      </w:r>
      <w:r w:rsidR="00955117">
        <w:rPr>
          <w:rFonts w:cs="Arial"/>
          <w:lang w:val="en-GB"/>
        </w:rPr>
        <w:t xml:space="preserve">tradius DSB 2020, p.7). </w:t>
      </w:r>
      <w:r w:rsidR="007867AE">
        <w:rPr>
          <w:rFonts w:cs="Arial"/>
          <w:lang w:val="en-GB"/>
        </w:rPr>
        <w:t>Yet several important caveats persist</w:t>
      </w:r>
      <w:r w:rsidR="00E57056">
        <w:rPr>
          <w:rFonts w:cs="Arial"/>
          <w:lang w:val="en-GB"/>
        </w:rPr>
        <w:t>:</w:t>
      </w:r>
      <w:r w:rsidR="00A978D2">
        <w:rPr>
          <w:rFonts w:cs="Arial"/>
          <w:lang w:val="en-GB"/>
        </w:rPr>
        <w:t xml:space="preserve"> </w:t>
      </w:r>
    </w:p>
    <w:p w14:paraId="2B34C9DC" w14:textId="77777777" w:rsidR="006F36DA" w:rsidRDefault="006F36DA" w:rsidP="00F03A3A">
      <w:pPr>
        <w:pStyle w:val="Listenabsatz"/>
        <w:numPr>
          <w:ilvl w:val="0"/>
          <w:numId w:val="31"/>
        </w:numPr>
        <w:spacing w:before="120" w:after="0"/>
        <w:rPr>
          <w:rFonts w:cs="Arial"/>
          <w:lang w:val="en-GB"/>
        </w:rPr>
      </w:pPr>
      <w:r>
        <w:rPr>
          <w:rFonts w:cs="Arial"/>
          <w:lang w:val="en-GB"/>
        </w:rPr>
        <w:t xml:space="preserve">The </w:t>
      </w:r>
      <w:r w:rsidR="003F3903">
        <w:rPr>
          <w:rFonts w:cs="Arial"/>
          <w:lang w:val="en-GB"/>
        </w:rPr>
        <w:t xml:space="preserve">extensiveness of the ‘green’ list in the areas of low carbon and energy efficiency in </w:t>
      </w:r>
      <w:r w:rsidR="00EE464F">
        <w:rPr>
          <w:rFonts w:cs="Arial"/>
          <w:lang w:val="en-GB"/>
        </w:rPr>
        <w:t>energy</w:t>
      </w:r>
      <w:r w:rsidR="003F3903">
        <w:rPr>
          <w:rFonts w:cs="Arial"/>
          <w:lang w:val="en-GB"/>
        </w:rPr>
        <w:t xml:space="preserve"> generation and other processes.</w:t>
      </w:r>
      <w:r w:rsidR="00233276">
        <w:rPr>
          <w:rFonts w:cs="Arial"/>
          <w:lang w:val="en-GB"/>
        </w:rPr>
        <w:t xml:space="preserve"> This </w:t>
      </w:r>
      <w:r w:rsidR="00F407B4">
        <w:rPr>
          <w:rFonts w:cs="Arial"/>
          <w:lang w:val="en-GB"/>
        </w:rPr>
        <w:t>is</w:t>
      </w:r>
      <w:r w:rsidR="00220F9A">
        <w:rPr>
          <w:rFonts w:cs="Arial"/>
          <w:lang w:val="en-GB"/>
        </w:rPr>
        <w:t xml:space="preserve"> in principle</w:t>
      </w:r>
      <w:r w:rsidR="00F407B4">
        <w:rPr>
          <w:rFonts w:cs="Arial"/>
          <w:lang w:val="en-GB"/>
        </w:rPr>
        <w:t xml:space="preserve"> not</w:t>
      </w:r>
      <w:r w:rsidR="00233276">
        <w:rPr>
          <w:rFonts w:cs="Arial"/>
          <w:lang w:val="en-GB"/>
        </w:rPr>
        <w:t xml:space="preserve"> in line with the EU Taxonomy</w:t>
      </w:r>
      <w:r w:rsidR="003F3903">
        <w:rPr>
          <w:rFonts w:cs="Arial"/>
          <w:lang w:val="en-GB"/>
        </w:rPr>
        <w:t xml:space="preserve"> </w:t>
      </w:r>
      <w:r w:rsidR="00750B9D">
        <w:rPr>
          <w:rFonts w:cs="Arial"/>
          <w:lang w:val="en-GB"/>
        </w:rPr>
        <w:t>on Sustainable Finance</w:t>
      </w:r>
      <w:r w:rsidR="007A7DF1">
        <w:rPr>
          <w:rFonts w:cs="Arial"/>
          <w:lang w:val="en-GB"/>
        </w:rPr>
        <w:t>. At the moment, the EU Taxonomy</w:t>
      </w:r>
      <w:r w:rsidR="00233276">
        <w:rPr>
          <w:rFonts w:cs="Arial"/>
          <w:lang w:val="en-GB"/>
        </w:rPr>
        <w:t xml:space="preserve"> only</w:t>
      </w:r>
      <w:r w:rsidR="007A7DF1">
        <w:rPr>
          <w:rFonts w:cs="Arial"/>
          <w:lang w:val="en-GB"/>
        </w:rPr>
        <w:t xml:space="preserve"> </w:t>
      </w:r>
      <w:r w:rsidR="00162553">
        <w:rPr>
          <w:rFonts w:cs="Arial"/>
          <w:lang w:val="en-GB"/>
        </w:rPr>
        <w:t>counts</w:t>
      </w:r>
      <w:r w:rsidR="00233276">
        <w:rPr>
          <w:rFonts w:cs="Arial"/>
          <w:lang w:val="en-GB"/>
        </w:rPr>
        <w:t xml:space="preserve"> retrofits of </w:t>
      </w:r>
      <w:r w:rsidR="00B852AD">
        <w:rPr>
          <w:rFonts w:cs="Arial"/>
          <w:lang w:val="en-GB"/>
        </w:rPr>
        <w:t xml:space="preserve">gas transmission and distribution networks as potentially ‘sustainable’ if the activity aims </w:t>
      </w:r>
      <w:r w:rsidR="00B852AD">
        <w:rPr>
          <w:rFonts w:cs="Arial"/>
          <w:lang w:val="en-GB"/>
        </w:rPr>
        <w:lastRenderedPageBreak/>
        <w:t>at reducing gas leakage and increases the volume of</w:t>
      </w:r>
      <w:r w:rsidR="008C7A75">
        <w:rPr>
          <w:rFonts w:cs="Arial"/>
          <w:lang w:val="en-GB"/>
        </w:rPr>
        <w:t xml:space="preserve"> low carbon gases, such as</w:t>
      </w:r>
      <w:r w:rsidR="00B852AD">
        <w:rPr>
          <w:rFonts w:cs="Arial"/>
          <w:lang w:val="en-GB"/>
        </w:rPr>
        <w:t xml:space="preserve"> hydrogen </w:t>
      </w:r>
      <w:r w:rsidR="008C7A75">
        <w:rPr>
          <w:rFonts w:cs="Arial"/>
          <w:lang w:val="en-GB"/>
        </w:rPr>
        <w:t>(TEG 2020a).</w:t>
      </w:r>
      <w:r w:rsidR="00F03A3A">
        <w:rPr>
          <w:rFonts w:cs="Arial"/>
          <w:lang w:val="en-GB"/>
        </w:rPr>
        <w:t xml:space="preserve"> Retrofits or efficiency improvements of fossil fuel-fired power plants are</w:t>
      </w:r>
      <w:r w:rsidR="00C11D2A">
        <w:rPr>
          <w:rFonts w:cs="Arial"/>
          <w:lang w:val="en-GB"/>
        </w:rPr>
        <w:t xml:space="preserve"> </w:t>
      </w:r>
      <w:r w:rsidR="00C11D2A">
        <w:rPr>
          <w:rFonts w:cs="Arial"/>
          <w:i/>
          <w:lang w:val="en-GB"/>
        </w:rPr>
        <w:t>per se</w:t>
      </w:r>
      <w:r w:rsidR="00F03A3A">
        <w:rPr>
          <w:rFonts w:cs="Arial"/>
          <w:lang w:val="en-GB"/>
        </w:rPr>
        <w:t xml:space="preserve"> excluded (for solid fossil fuels) or subject to </w:t>
      </w:r>
      <w:r w:rsidR="004D568A">
        <w:rPr>
          <w:rFonts w:cs="Arial"/>
          <w:lang w:val="en-GB"/>
        </w:rPr>
        <w:t xml:space="preserve">an absolute (and declining) threshold of </w:t>
      </w:r>
      <w:r w:rsidR="004D568A" w:rsidRPr="004D568A">
        <w:rPr>
          <w:rFonts w:cs="Arial"/>
          <w:lang w:val="en-GB"/>
        </w:rPr>
        <w:t>&lt;100 g CO2e/ kWh reducing in five-year increments to 0 g CO2e/kWh by 2050</w:t>
      </w:r>
      <w:r w:rsidR="004D568A">
        <w:rPr>
          <w:rFonts w:cs="Arial"/>
          <w:lang w:val="en-GB"/>
        </w:rPr>
        <w:t xml:space="preserve"> </w:t>
      </w:r>
      <w:r w:rsidR="00FB3C63">
        <w:rPr>
          <w:rFonts w:cs="Arial"/>
          <w:lang w:val="en-GB"/>
        </w:rPr>
        <w:t xml:space="preserve">for </w:t>
      </w:r>
      <w:r w:rsidR="00AF5F96">
        <w:rPr>
          <w:rFonts w:cs="Arial"/>
          <w:lang w:val="en-GB"/>
        </w:rPr>
        <w:t>liquid and gaseous fossil fuels</w:t>
      </w:r>
      <w:r w:rsidR="005C6236">
        <w:rPr>
          <w:rFonts w:cs="Arial"/>
          <w:lang w:val="en-GB"/>
        </w:rPr>
        <w:t xml:space="preserve"> (</w:t>
      </w:r>
      <w:r w:rsidR="00094CA7">
        <w:rPr>
          <w:rFonts w:cs="Arial"/>
          <w:lang w:val="en-GB"/>
        </w:rPr>
        <w:t>TEG 2020</w:t>
      </w:r>
      <w:r w:rsidR="00F03A3A">
        <w:rPr>
          <w:rFonts w:cs="Arial"/>
          <w:lang w:val="en-GB"/>
        </w:rPr>
        <w:t>b</w:t>
      </w:r>
      <w:r w:rsidR="00094CA7">
        <w:rPr>
          <w:rFonts w:cs="Arial"/>
          <w:lang w:val="en-GB"/>
        </w:rPr>
        <w:t>).</w:t>
      </w:r>
      <w:r w:rsidR="00AD18F5">
        <w:rPr>
          <w:rFonts w:cs="Arial"/>
          <w:lang w:val="en-GB"/>
        </w:rPr>
        <w:t xml:space="preserve"> Against this background, w</w:t>
      </w:r>
      <w:r w:rsidR="005911E0">
        <w:rPr>
          <w:rFonts w:cs="Arial"/>
          <w:lang w:val="en-GB"/>
        </w:rPr>
        <w:t xml:space="preserve">e </w:t>
      </w:r>
      <w:r w:rsidR="001A178F">
        <w:rPr>
          <w:rFonts w:cs="Arial"/>
          <w:lang w:val="en-GB"/>
        </w:rPr>
        <w:t xml:space="preserve">also </w:t>
      </w:r>
      <w:r w:rsidR="005911E0">
        <w:rPr>
          <w:rFonts w:cs="Arial"/>
          <w:lang w:val="en-GB"/>
        </w:rPr>
        <w:t xml:space="preserve">deem </w:t>
      </w:r>
      <w:r w:rsidR="00C85158">
        <w:rPr>
          <w:rFonts w:cs="Arial"/>
          <w:lang w:val="en-GB"/>
        </w:rPr>
        <w:t xml:space="preserve">the </w:t>
      </w:r>
      <w:r w:rsidR="005911E0">
        <w:rPr>
          <w:rFonts w:cs="Arial"/>
          <w:lang w:val="en-GB"/>
        </w:rPr>
        <w:t>c</w:t>
      </w:r>
      <w:r w:rsidR="00250C6C">
        <w:rPr>
          <w:rFonts w:cs="Arial"/>
          <w:lang w:val="en-GB"/>
        </w:rPr>
        <w:t xml:space="preserve">urrently proposed relative thresholds of emission reductions to attain ‘green’ eligibility </w:t>
      </w:r>
      <w:r w:rsidR="00C85158">
        <w:rPr>
          <w:rFonts w:cs="Arial"/>
          <w:lang w:val="en-GB"/>
        </w:rPr>
        <w:t>(e.g., 20%) as</w:t>
      </w:r>
      <w:r w:rsidR="00423B33">
        <w:rPr>
          <w:rFonts w:cs="Arial"/>
          <w:lang w:val="en-GB"/>
        </w:rPr>
        <w:t xml:space="preserve"> </w:t>
      </w:r>
      <w:r w:rsidR="00B30457">
        <w:rPr>
          <w:rFonts w:cs="Arial"/>
          <w:lang w:val="en-GB"/>
        </w:rPr>
        <w:t>highly</w:t>
      </w:r>
      <w:r w:rsidR="00C85158">
        <w:rPr>
          <w:rFonts w:cs="Arial"/>
          <w:lang w:val="en-GB"/>
        </w:rPr>
        <w:t xml:space="preserve"> insufficient</w:t>
      </w:r>
      <w:r w:rsidR="007953D3">
        <w:rPr>
          <w:rFonts w:cs="Arial"/>
          <w:lang w:val="en-GB"/>
        </w:rPr>
        <w:t>.</w:t>
      </w:r>
      <w:r w:rsidR="001C5BF0" w:rsidRPr="001C5BF0">
        <w:rPr>
          <w:rFonts w:cs="Arial"/>
          <w:lang w:val="en-GB"/>
        </w:rPr>
        <w:t xml:space="preserve"> </w:t>
      </w:r>
      <w:r w:rsidR="001C5BF0">
        <w:rPr>
          <w:rFonts w:cs="Arial"/>
          <w:lang w:val="en-GB"/>
        </w:rPr>
        <w:t>Moreover, the three ‘shades of green’ (light, medium and dark) are also not in line with the approach taken by the EU Taxonomy but rather corresponding to the private and distinctive approach by CICERO (n.d.).</w:t>
      </w:r>
      <w:r w:rsidR="003930EA">
        <w:rPr>
          <w:rFonts w:cs="Arial"/>
          <w:lang w:val="en-GB"/>
        </w:rPr>
        <w:t xml:space="preserve"> Lastly, the EU taxonomy </w:t>
      </w:r>
      <w:r w:rsidR="00D81689">
        <w:rPr>
          <w:rFonts w:cs="Arial"/>
          <w:lang w:val="en-GB"/>
        </w:rPr>
        <w:t xml:space="preserve">itself </w:t>
      </w:r>
      <w:r w:rsidR="003930EA">
        <w:rPr>
          <w:rFonts w:cs="Arial"/>
          <w:lang w:val="en-GB"/>
        </w:rPr>
        <w:t xml:space="preserve">as per its most recent publication </w:t>
      </w:r>
      <w:r w:rsidR="00D55F68">
        <w:rPr>
          <w:rFonts w:cs="Arial"/>
          <w:lang w:val="en-GB"/>
        </w:rPr>
        <w:t>is</w:t>
      </w:r>
      <w:r w:rsidR="003930EA">
        <w:rPr>
          <w:rFonts w:cs="Arial"/>
          <w:lang w:val="en-GB"/>
        </w:rPr>
        <w:t xml:space="preserve"> not </w:t>
      </w:r>
      <w:r w:rsidR="00D55F68">
        <w:rPr>
          <w:rFonts w:cs="Arial"/>
          <w:lang w:val="en-GB"/>
        </w:rPr>
        <w:t xml:space="preserve">fully </w:t>
      </w:r>
      <w:r w:rsidR="003930EA">
        <w:rPr>
          <w:rFonts w:cs="Arial"/>
          <w:lang w:val="en-GB"/>
        </w:rPr>
        <w:t xml:space="preserve">in line with the latest climate science as it </w:t>
      </w:r>
      <w:r w:rsidR="00370A5B">
        <w:rPr>
          <w:rFonts w:cs="Arial"/>
          <w:lang w:val="en-GB"/>
        </w:rPr>
        <w:t xml:space="preserve">will </w:t>
      </w:r>
      <w:r w:rsidR="003930EA">
        <w:rPr>
          <w:rFonts w:cs="Arial"/>
          <w:lang w:val="en-GB"/>
        </w:rPr>
        <w:t>potentially allow for fossil gas</w:t>
      </w:r>
      <w:r w:rsidR="000367A6">
        <w:rPr>
          <w:rFonts w:cs="Arial"/>
          <w:lang w:val="en-GB"/>
        </w:rPr>
        <w:t xml:space="preserve"> and nuclear energy</w:t>
      </w:r>
      <w:r w:rsidR="003930EA">
        <w:rPr>
          <w:rFonts w:cs="Arial"/>
          <w:lang w:val="en-GB"/>
        </w:rPr>
        <w:t xml:space="preserve"> to count as ‘sustainable’.</w:t>
      </w:r>
      <w:r w:rsidR="001C5BF0">
        <w:rPr>
          <w:rFonts w:cs="Arial"/>
          <w:lang w:val="en-GB"/>
        </w:rPr>
        <w:t xml:space="preserve"> </w:t>
      </w:r>
    </w:p>
    <w:p w14:paraId="2330B6FE" w14:textId="77777777" w:rsidR="00AA741E" w:rsidRDefault="00697016" w:rsidP="00B26EC1">
      <w:pPr>
        <w:pStyle w:val="Listenabsatz"/>
        <w:numPr>
          <w:ilvl w:val="0"/>
          <w:numId w:val="31"/>
        </w:numPr>
        <w:spacing w:before="120" w:after="0"/>
        <w:rPr>
          <w:rFonts w:cs="Arial"/>
          <w:lang w:val="en-GB"/>
        </w:rPr>
      </w:pPr>
      <w:r>
        <w:rPr>
          <w:rFonts w:cs="Arial"/>
          <w:lang w:val="en-GB"/>
        </w:rPr>
        <w:t xml:space="preserve">The possibility of labelling </w:t>
      </w:r>
      <w:r w:rsidRPr="00B26EC1">
        <w:rPr>
          <w:rFonts w:cs="Arial"/>
          <w:lang w:val="en-GB"/>
        </w:rPr>
        <w:t>activities</w:t>
      </w:r>
      <w:r w:rsidR="0095199C">
        <w:rPr>
          <w:rFonts w:cs="Arial"/>
          <w:lang w:val="en-GB"/>
        </w:rPr>
        <w:t xml:space="preserve"> as ‘green’ in all sectors, </w:t>
      </w:r>
      <w:r w:rsidR="0095199C" w:rsidRPr="00EC285E">
        <w:rPr>
          <w:rFonts w:cs="Arial"/>
          <w:i/>
          <w:lang w:val="en-GB"/>
        </w:rPr>
        <w:t>including</w:t>
      </w:r>
      <w:r w:rsidRPr="00B26EC1">
        <w:rPr>
          <w:rFonts w:cs="Arial"/>
          <w:lang w:val="en-GB"/>
        </w:rPr>
        <w:t xml:space="preserve"> fossil fuel value chains </w:t>
      </w:r>
      <w:r>
        <w:rPr>
          <w:rFonts w:cs="Arial"/>
          <w:lang w:val="en-GB"/>
        </w:rPr>
        <w:t xml:space="preserve">which </w:t>
      </w:r>
      <w:r w:rsidR="00E57056">
        <w:rPr>
          <w:rFonts w:cs="Arial"/>
          <w:lang w:val="en-GB"/>
        </w:rPr>
        <w:t>may</w:t>
      </w:r>
      <w:r w:rsidR="004345E8">
        <w:rPr>
          <w:rFonts w:cs="Arial"/>
          <w:lang w:val="en-GB"/>
        </w:rPr>
        <w:t xml:space="preserve"> </w:t>
      </w:r>
      <w:r>
        <w:rPr>
          <w:rFonts w:cs="Arial"/>
          <w:lang w:val="en-GB"/>
        </w:rPr>
        <w:t>contribut</w:t>
      </w:r>
      <w:r w:rsidR="00E57056">
        <w:rPr>
          <w:rFonts w:cs="Arial"/>
          <w:lang w:val="en-GB"/>
        </w:rPr>
        <w:t>e</w:t>
      </w:r>
      <w:r>
        <w:rPr>
          <w:rFonts w:cs="Arial"/>
          <w:lang w:val="en-GB"/>
        </w:rPr>
        <w:t xml:space="preserve"> to </w:t>
      </w:r>
      <w:r w:rsidR="002746E2">
        <w:rPr>
          <w:rFonts w:cs="Arial"/>
          <w:lang w:val="en-GB"/>
        </w:rPr>
        <w:t xml:space="preserve">a </w:t>
      </w:r>
      <w:r>
        <w:rPr>
          <w:rFonts w:cs="Arial"/>
          <w:lang w:val="en-GB"/>
        </w:rPr>
        <w:t xml:space="preserve">carbon lock-in (TEG 2020b; </w:t>
      </w:r>
      <w:proofErr w:type="spellStart"/>
      <w:r w:rsidRPr="00B26EC1">
        <w:rPr>
          <w:rFonts w:cs="Arial"/>
          <w:lang w:val="en-GB"/>
        </w:rPr>
        <w:t>Seto</w:t>
      </w:r>
      <w:proofErr w:type="spellEnd"/>
      <w:r w:rsidRPr="00B26EC1">
        <w:rPr>
          <w:rFonts w:cs="Arial"/>
          <w:lang w:val="en-GB"/>
        </w:rPr>
        <w:t xml:space="preserve"> et al. 2016)</w:t>
      </w:r>
      <w:r>
        <w:rPr>
          <w:rFonts w:cs="Arial"/>
          <w:lang w:val="en-GB"/>
        </w:rPr>
        <w:t xml:space="preserve"> rather than promot</w:t>
      </w:r>
      <w:r w:rsidR="002746E2">
        <w:rPr>
          <w:rFonts w:cs="Arial"/>
          <w:lang w:val="en-GB"/>
        </w:rPr>
        <w:t>ing</w:t>
      </w:r>
      <w:r>
        <w:rPr>
          <w:rFonts w:cs="Arial"/>
          <w:lang w:val="en-GB"/>
        </w:rPr>
        <w:t xml:space="preserve"> </w:t>
      </w:r>
      <w:r w:rsidRPr="00B26EC1">
        <w:rPr>
          <w:rFonts w:cs="Arial"/>
          <w:lang w:val="en-GB"/>
        </w:rPr>
        <w:t xml:space="preserve">the early retirements of fossil fuel infrastructure and their replacement by </w:t>
      </w:r>
      <w:r w:rsidR="000D2A5D">
        <w:rPr>
          <w:rFonts w:cs="Arial"/>
          <w:lang w:val="en-GB"/>
        </w:rPr>
        <w:t>clean</w:t>
      </w:r>
      <w:r w:rsidRPr="00B26EC1">
        <w:rPr>
          <w:rFonts w:cs="Arial"/>
          <w:lang w:val="en-GB"/>
        </w:rPr>
        <w:t xml:space="preserve"> alternatives</w:t>
      </w:r>
      <w:r w:rsidR="00E57056">
        <w:rPr>
          <w:rFonts w:cs="Arial"/>
          <w:lang w:val="en-GB"/>
        </w:rPr>
        <w:t>.</w:t>
      </w:r>
      <w:r w:rsidR="0095199C">
        <w:rPr>
          <w:rFonts w:cs="Arial"/>
          <w:lang w:val="en-GB"/>
        </w:rPr>
        <w:t xml:space="preserve"> </w:t>
      </w:r>
    </w:p>
    <w:p w14:paraId="1EE8FF59" w14:textId="29D97EE2" w:rsidR="00697016" w:rsidRDefault="00AA741E" w:rsidP="00B26EC1">
      <w:pPr>
        <w:pStyle w:val="Listenabsatz"/>
        <w:numPr>
          <w:ilvl w:val="0"/>
          <w:numId w:val="31"/>
        </w:numPr>
        <w:spacing w:before="120" w:after="0"/>
        <w:rPr>
          <w:rFonts w:cs="Arial"/>
          <w:lang w:val="en-GB"/>
        </w:rPr>
      </w:pPr>
      <w:r>
        <w:rPr>
          <w:rFonts w:cs="Arial"/>
          <w:lang w:val="en-GB"/>
        </w:rPr>
        <w:t xml:space="preserve">The </w:t>
      </w:r>
      <w:r w:rsidR="00583CDE">
        <w:rPr>
          <w:rFonts w:cs="Arial"/>
          <w:lang w:val="en-GB"/>
        </w:rPr>
        <w:t xml:space="preserve">ensuing </w:t>
      </w:r>
      <w:r w:rsidR="00114A2C">
        <w:rPr>
          <w:rFonts w:cs="Arial"/>
          <w:lang w:val="en-GB"/>
        </w:rPr>
        <w:t>possibility</w:t>
      </w:r>
      <w:r>
        <w:rPr>
          <w:rFonts w:cs="Arial"/>
          <w:lang w:val="en-GB"/>
        </w:rPr>
        <w:t xml:space="preserve"> of </w:t>
      </w:r>
      <w:r w:rsidR="00E30105">
        <w:rPr>
          <w:rFonts w:cs="Arial"/>
          <w:lang w:val="en-GB"/>
        </w:rPr>
        <w:t>double counting of fossil fuel-related activities as both ‘green’ and ‘fossil’</w:t>
      </w:r>
    </w:p>
    <w:p w14:paraId="6B98C156" w14:textId="77777777" w:rsidR="00957333" w:rsidRDefault="00957333" w:rsidP="00B26EC1">
      <w:pPr>
        <w:pStyle w:val="Listenabsatz"/>
        <w:numPr>
          <w:ilvl w:val="0"/>
          <w:numId w:val="31"/>
        </w:numPr>
        <w:spacing w:before="120" w:after="0"/>
        <w:rPr>
          <w:rFonts w:cs="Arial"/>
          <w:lang w:val="en-GB"/>
        </w:rPr>
      </w:pPr>
      <w:r w:rsidRPr="00B26EC1">
        <w:rPr>
          <w:rFonts w:cs="Arial"/>
          <w:lang w:val="en-GB"/>
        </w:rPr>
        <w:t>The</w:t>
      </w:r>
      <w:r>
        <w:rPr>
          <w:rFonts w:cs="Arial"/>
          <w:lang w:val="en-GB"/>
        </w:rPr>
        <w:t xml:space="preserve"> exclusively</w:t>
      </w:r>
      <w:r w:rsidRPr="00B26EC1">
        <w:rPr>
          <w:rFonts w:cs="Arial"/>
          <w:lang w:val="en-GB"/>
        </w:rPr>
        <w:t xml:space="preserve"> </w:t>
      </w:r>
      <w:r w:rsidR="00500279" w:rsidRPr="00B26EC1">
        <w:rPr>
          <w:rFonts w:cs="Arial"/>
          <w:lang w:val="en-GB"/>
        </w:rPr>
        <w:t>forward</w:t>
      </w:r>
      <w:r w:rsidR="00500279">
        <w:rPr>
          <w:rFonts w:cs="Arial"/>
          <w:lang w:val="en-GB"/>
        </w:rPr>
        <w:t>-looking</w:t>
      </w:r>
      <w:r w:rsidRPr="00B26EC1">
        <w:rPr>
          <w:rFonts w:cs="Arial"/>
          <w:lang w:val="en-GB"/>
        </w:rPr>
        <w:t xml:space="preserve"> nature of the approach which </w:t>
      </w:r>
      <w:r w:rsidR="007D00D2">
        <w:rPr>
          <w:rFonts w:cs="Arial"/>
          <w:lang w:val="en-GB"/>
        </w:rPr>
        <w:t xml:space="preserve">means that only </w:t>
      </w:r>
      <w:r w:rsidRPr="00B26EC1">
        <w:rPr>
          <w:rFonts w:cs="Arial"/>
          <w:i/>
          <w:lang w:val="en-GB"/>
        </w:rPr>
        <w:t>new</w:t>
      </w:r>
      <w:r w:rsidRPr="00B26EC1">
        <w:rPr>
          <w:rFonts w:cs="Arial"/>
          <w:lang w:val="en-GB"/>
        </w:rPr>
        <w:t xml:space="preserve"> projects </w:t>
      </w:r>
      <w:r w:rsidR="007D00D2">
        <w:rPr>
          <w:rFonts w:cs="Arial"/>
          <w:lang w:val="en-GB"/>
        </w:rPr>
        <w:t>are classified as ‘green’ (</w:t>
      </w:r>
      <w:r w:rsidR="005105EA">
        <w:rPr>
          <w:rFonts w:cs="Arial"/>
          <w:lang w:val="en-GB"/>
        </w:rPr>
        <w:t xml:space="preserve">project </w:t>
      </w:r>
      <w:r w:rsidR="007D00D2">
        <w:rPr>
          <w:rFonts w:cs="Arial"/>
          <w:lang w:val="en-GB"/>
        </w:rPr>
        <w:t xml:space="preserve">flow) rather than </w:t>
      </w:r>
      <w:r w:rsidRPr="00B26EC1">
        <w:rPr>
          <w:rFonts w:cs="Arial"/>
          <w:lang w:val="en-GB"/>
        </w:rPr>
        <w:t>the entire portfolio as the fossil fuel methodology does (project stock). While th</w:t>
      </w:r>
      <w:r w:rsidR="006E1466">
        <w:rPr>
          <w:rFonts w:cs="Arial"/>
          <w:lang w:val="en-GB"/>
        </w:rPr>
        <w:t>is</w:t>
      </w:r>
      <w:r w:rsidRPr="00B26EC1">
        <w:rPr>
          <w:rFonts w:cs="Arial"/>
          <w:lang w:val="en-GB"/>
        </w:rPr>
        <w:t xml:space="preserve"> is understandable from a pragmatic point of view, this</w:t>
      </w:r>
      <w:r w:rsidR="00D23F52">
        <w:rPr>
          <w:rFonts w:cs="Arial"/>
          <w:lang w:val="en-GB"/>
        </w:rPr>
        <w:t xml:space="preserve"> approach</w:t>
      </w:r>
      <w:r w:rsidRPr="00B26EC1">
        <w:rPr>
          <w:rFonts w:cs="Arial"/>
          <w:lang w:val="en-GB"/>
        </w:rPr>
        <w:t xml:space="preserve"> significantly reduces the comparability between the ‘fossil’ and ‘green’ shares of the portfolio. </w:t>
      </w:r>
    </w:p>
    <w:p w14:paraId="5E3DEF6F" w14:textId="77777777" w:rsidR="00B71646" w:rsidRDefault="0099482A" w:rsidP="00B26EC1">
      <w:pPr>
        <w:pStyle w:val="Listenabsatz"/>
        <w:numPr>
          <w:ilvl w:val="0"/>
          <w:numId w:val="31"/>
        </w:numPr>
        <w:spacing w:before="120" w:after="0"/>
        <w:rPr>
          <w:rFonts w:cs="Arial"/>
          <w:lang w:val="en-GB"/>
        </w:rPr>
      </w:pPr>
      <w:r>
        <w:rPr>
          <w:rFonts w:cs="Arial"/>
          <w:lang w:val="en-GB"/>
        </w:rPr>
        <w:t>T</w:t>
      </w:r>
      <w:r w:rsidR="00A978D2" w:rsidRPr="00B26EC1">
        <w:rPr>
          <w:rFonts w:cs="Arial"/>
          <w:lang w:val="en-GB"/>
        </w:rPr>
        <w:t>he absence of granular reporting o</w:t>
      </w:r>
      <w:r w:rsidR="00632C03">
        <w:rPr>
          <w:rFonts w:cs="Arial"/>
          <w:lang w:val="en-GB"/>
        </w:rPr>
        <w:t>n</w:t>
      </w:r>
      <w:r w:rsidR="009F381D">
        <w:rPr>
          <w:rFonts w:cs="Arial"/>
          <w:lang w:val="en-GB"/>
        </w:rPr>
        <w:t xml:space="preserve"> official</w:t>
      </w:r>
      <w:r w:rsidR="00A978D2" w:rsidRPr="00B26EC1">
        <w:rPr>
          <w:rFonts w:cs="Arial"/>
          <w:lang w:val="en-GB"/>
        </w:rPr>
        <w:t xml:space="preserve"> climate finance</w:t>
      </w:r>
      <w:r w:rsidR="00613160">
        <w:rPr>
          <w:rFonts w:cs="Arial"/>
          <w:lang w:val="en-GB"/>
        </w:rPr>
        <w:t xml:space="preserve"> channelled </w:t>
      </w:r>
      <w:r w:rsidR="00A978D2" w:rsidRPr="00B26EC1">
        <w:rPr>
          <w:rFonts w:cs="Arial"/>
          <w:lang w:val="en-GB"/>
        </w:rPr>
        <w:t>through Atradius DSB</w:t>
      </w:r>
      <w:r w:rsidR="00613160">
        <w:rPr>
          <w:rFonts w:cs="Arial"/>
          <w:lang w:val="en-GB"/>
        </w:rPr>
        <w:t>, if applicable,</w:t>
      </w:r>
      <w:r w:rsidR="00A978D2" w:rsidRPr="00B26EC1">
        <w:rPr>
          <w:rFonts w:cs="Arial"/>
          <w:lang w:val="en-GB"/>
        </w:rPr>
        <w:t xml:space="preserve"> reported to the UNFCCC (see Ministry of Economic Affairs and Climate Policy 2019) and the OECD (2020)</w:t>
      </w:r>
      <w:r w:rsidR="007E3BD8">
        <w:rPr>
          <w:rFonts w:cs="Arial"/>
          <w:lang w:val="en-GB"/>
        </w:rPr>
        <w:t>.</w:t>
      </w:r>
      <w:r w:rsidR="00A978D2" w:rsidRPr="00B26EC1">
        <w:rPr>
          <w:rFonts w:cs="Arial"/>
          <w:lang w:val="en-GB"/>
        </w:rPr>
        <w:t xml:space="preserve"> </w:t>
      </w:r>
    </w:p>
    <w:p w14:paraId="09176472" w14:textId="77777777" w:rsidR="00425464" w:rsidRDefault="005D4932" w:rsidP="00493C62">
      <w:pPr>
        <w:spacing w:before="120" w:after="0"/>
        <w:rPr>
          <w:rFonts w:cs="Arial"/>
          <w:lang w:val="en-GB"/>
        </w:rPr>
      </w:pPr>
      <w:r w:rsidRPr="005D4932">
        <w:rPr>
          <w:rFonts w:cs="Arial"/>
          <w:lang w:val="en-GB"/>
        </w:rPr>
        <w:t>We recommend Atradius DSB to address these caveats in future revisions of the ‘Green Label’ methodology to achieve the ‘Paris-aligned’ score.</w:t>
      </w:r>
    </w:p>
    <w:p w14:paraId="61752B33" w14:textId="77777777" w:rsidR="001274B2" w:rsidRPr="00FC1E5A" w:rsidRDefault="001274B2" w:rsidP="00493C62">
      <w:pPr>
        <w:spacing w:before="120" w:after="0"/>
        <w:rPr>
          <w:rFonts w:cs="Arial"/>
          <w:b/>
          <w:bCs/>
          <w:lang w:val="en-GB"/>
        </w:rPr>
      </w:pPr>
      <w:r w:rsidRPr="00FC1E5A">
        <w:rPr>
          <w:rFonts w:cs="Arial"/>
          <w:b/>
          <w:bCs/>
          <w:lang w:val="en-GB"/>
        </w:rPr>
        <w:t xml:space="preserve">Q1.4: To what extent does the institution adhere to the Recommendations and Supporting Recommended Disclosures of the Task Force on Climate-related </w:t>
      </w:r>
      <w:r w:rsidR="00A76B35">
        <w:rPr>
          <w:rFonts w:cs="Arial"/>
          <w:b/>
          <w:bCs/>
          <w:lang w:val="en-GB"/>
        </w:rPr>
        <w:t xml:space="preserve">Financial </w:t>
      </w:r>
      <w:r w:rsidRPr="00FC1E5A">
        <w:rPr>
          <w:rFonts w:cs="Arial"/>
          <w:b/>
          <w:bCs/>
          <w:lang w:val="en-GB"/>
        </w:rPr>
        <w:t xml:space="preserve">Disclosure (TCFD)? </w:t>
      </w:r>
    </w:p>
    <w:p w14:paraId="67072FCC" w14:textId="2527E651" w:rsidR="00C92A72" w:rsidRPr="00CE6D77" w:rsidRDefault="00153C15" w:rsidP="00153C15">
      <w:pPr>
        <w:spacing w:before="120" w:after="0"/>
        <w:rPr>
          <w:rFonts w:cs="Arial"/>
          <w:lang w:val="en-GB"/>
        </w:rPr>
      </w:pPr>
      <w:r>
        <w:rPr>
          <w:rFonts w:cs="Arial"/>
          <w:lang w:val="en-GB"/>
        </w:rPr>
        <w:t xml:space="preserve">Q1.4 </w:t>
      </w:r>
      <w:r w:rsidR="00974D3B">
        <w:rPr>
          <w:rFonts w:cs="Arial"/>
          <w:lang w:val="en-GB"/>
        </w:rPr>
        <w:t xml:space="preserve">was </w:t>
      </w:r>
      <w:r>
        <w:rPr>
          <w:rFonts w:cs="Arial"/>
          <w:lang w:val="en-GB"/>
        </w:rPr>
        <w:t xml:space="preserve">rated with </w:t>
      </w:r>
      <w:r w:rsidR="0028732D">
        <w:rPr>
          <w:rFonts w:cs="Arial"/>
          <w:lang w:val="en-GB"/>
        </w:rPr>
        <w:t>‘</w:t>
      </w:r>
      <w:r>
        <w:rPr>
          <w:rFonts w:cs="Arial"/>
          <w:lang w:val="en-GB"/>
        </w:rPr>
        <w:t>Some progress</w:t>
      </w:r>
      <w:r w:rsidR="0028732D">
        <w:rPr>
          <w:rFonts w:cs="Arial"/>
          <w:lang w:val="en-GB"/>
        </w:rPr>
        <w:t>’</w:t>
      </w:r>
      <w:r>
        <w:rPr>
          <w:rFonts w:cs="Arial"/>
          <w:lang w:val="en-GB"/>
        </w:rPr>
        <w:t xml:space="preserve"> despite the absence of </w:t>
      </w:r>
      <w:r w:rsidR="000D65C7">
        <w:rPr>
          <w:rFonts w:cs="Arial"/>
          <w:lang w:val="en-GB"/>
        </w:rPr>
        <w:t xml:space="preserve">an explicit adherence to the </w:t>
      </w:r>
      <w:r>
        <w:rPr>
          <w:rFonts w:cs="Arial"/>
          <w:lang w:val="en-GB"/>
        </w:rPr>
        <w:t xml:space="preserve">recommendations provided by </w:t>
      </w:r>
      <w:r w:rsidR="001274B2" w:rsidRPr="00FC1E5A">
        <w:rPr>
          <w:rFonts w:cs="Arial"/>
          <w:lang w:val="en-GB"/>
        </w:rPr>
        <w:t>the Task Force on Climate-related Financial Disclosures (TCFD)</w:t>
      </w:r>
      <w:r w:rsidR="00E47C81">
        <w:rPr>
          <w:rFonts w:cs="Arial"/>
          <w:lang w:val="en-GB"/>
        </w:rPr>
        <w:t>.</w:t>
      </w:r>
      <w:r w:rsidR="001274B2" w:rsidRPr="00FC1E5A">
        <w:rPr>
          <w:rFonts w:cs="Arial"/>
          <w:lang w:val="en-GB"/>
        </w:rPr>
        <w:t xml:space="preserve"> </w:t>
      </w:r>
      <w:r w:rsidR="00B5227D">
        <w:rPr>
          <w:rFonts w:cs="Arial"/>
          <w:lang w:val="en-GB"/>
        </w:rPr>
        <w:t xml:space="preserve">This choice is made </w:t>
      </w:r>
      <w:r w:rsidR="009708BB">
        <w:rPr>
          <w:rFonts w:cs="Arial"/>
          <w:lang w:val="en-GB"/>
        </w:rPr>
        <w:t>based on</w:t>
      </w:r>
      <w:r w:rsidR="00B5227D">
        <w:rPr>
          <w:rFonts w:cs="Arial"/>
          <w:lang w:val="en-GB"/>
        </w:rPr>
        <w:t xml:space="preserve"> </w:t>
      </w:r>
      <w:r w:rsidR="00B5227D" w:rsidRPr="00E91441">
        <w:rPr>
          <w:rFonts w:cs="Arial"/>
          <w:lang w:val="en-GB"/>
        </w:rPr>
        <w:t>announcements to explore the design of a 1.5°C scenario</w:t>
      </w:r>
      <w:r w:rsidR="00B5227D">
        <w:rPr>
          <w:rFonts w:cs="Arial"/>
          <w:lang w:val="en-GB"/>
        </w:rPr>
        <w:t xml:space="preserve"> for </w:t>
      </w:r>
      <w:r w:rsidR="0047371B">
        <w:rPr>
          <w:rFonts w:cs="Arial"/>
          <w:lang w:val="en-GB"/>
        </w:rPr>
        <w:t>officially supported Dutch export finance (Ministry of Finance 2021a</w:t>
      </w:r>
      <w:r w:rsidR="00822C3F">
        <w:rPr>
          <w:rFonts w:cs="Arial"/>
          <w:lang w:val="en-GB"/>
        </w:rPr>
        <w:t xml:space="preserve"> and b</w:t>
      </w:r>
      <w:r w:rsidR="0047371B">
        <w:rPr>
          <w:rFonts w:cs="Arial"/>
          <w:lang w:val="en-GB"/>
        </w:rPr>
        <w:t>) – one of the core recommendations of the TCFD (2017)</w:t>
      </w:r>
      <w:r w:rsidR="00DC7175">
        <w:rPr>
          <w:rFonts w:cs="Arial"/>
          <w:lang w:val="en-GB"/>
        </w:rPr>
        <w:t xml:space="preserve"> regarding an institution´s climate-related strategy</w:t>
      </w:r>
      <w:r w:rsidR="0047371B">
        <w:rPr>
          <w:rFonts w:cs="Arial"/>
          <w:lang w:val="en-GB"/>
        </w:rPr>
        <w:t xml:space="preserve">. </w:t>
      </w:r>
      <w:r w:rsidR="0033513C" w:rsidRPr="0033513C">
        <w:rPr>
          <w:rFonts w:cs="Arial"/>
          <w:lang w:val="en-GB"/>
        </w:rPr>
        <w:t xml:space="preserve">The frontrunners in this respect are the United Kingdom´s UKEF and the Swedish ECAs SEK and EKN which committed to report according to the TCFD as of 2022 at the latest (see UKEF 2021 and EKN 2020, respectively). </w:t>
      </w:r>
    </w:p>
    <w:p w14:paraId="19C19102" w14:textId="77777777" w:rsidR="0013159C" w:rsidRPr="00CE6D77" w:rsidRDefault="00425464" w:rsidP="002923FE">
      <w:pPr>
        <w:spacing w:before="120" w:after="0"/>
      </w:pPr>
      <w:r w:rsidRPr="00CE6D77">
        <w:rPr>
          <w:rFonts w:cs="Arial"/>
          <w:iCs/>
          <w:lang w:val="en-GB"/>
        </w:rPr>
        <w:lastRenderedPageBreak/>
        <w:t xml:space="preserve">We recommend </w:t>
      </w:r>
      <w:r w:rsidR="009708BB" w:rsidRPr="00CE6D77">
        <w:rPr>
          <w:rFonts w:cs="Arial"/>
          <w:iCs/>
          <w:lang w:val="en-GB"/>
        </w:rPr>
        <w:t>following</w:t>
      </w:r>
      <w:r w:rsidRPr="006C6A87">
        <w:rPr>
          <w:rFonts w:cs="Arial"/>
          <w:iCs/>
          <w:lang w:val="en-GB"/>
        </w:rPr>
        <w:t xml:space="preserve"> these </w:t>
      </w:r>
      <w:r w:rsidR="006359F7" w:rsidRPr="006C6A87">
        <w:rPr>
          <w:rFonts w:cs="Arial"/>
          <w:iCs/>
          <w:lang w:val="en-GB"/>
        </w:rPr>
        <w:t>best</w:t>
      </w:r>
      <w:r w:rsidR="00EE645D" w:rsidRPr="006C6A87">
        <w:rPr>
          <w:rFonts w:cs="Arial"/>
          <w:iCs/>
          <w:lang w:val="en-GB"/>
        </w:rPr>
        <w:t xml:space="preserve"> </w:t>
      </w:r>
      <w:r w:rsidR="006359F7" w:rsidRPr="006C6A87">
        <w:rPr>
          <w:rFonts w:cs="Arial"/>
          <w:iCs/>
          <w:lang w:val="en-GB"/>
        </w:rPr>
        <w:t>practice</w:t>
      </w:r>
      <w:r w:rsidR="00EE645D" w:rsidRPr="006C6A87">
        <w:rPr>
          <w:rFonts w:cs="Arial"/>
          <w:iCs/>
          <w:lang w:val="en-GB"/>
        </w:rPr>
        <w:t>s</w:t>
      </w:r>
      <w:r w:rsidR="006359F7" w:rsidRPr="006C6A87">
        <w:rPr>
          <w:rFonts w:cs="Arial"/>
          <w:iCs/>
          <w:lang w:val="en-GB"/>
        </w:rPr>
        <w:t xml:space="preserve"> </w:t>
      </w:r>
      <w:r w:rsidR="00C84C25" w:rsidRPr="006C6A87">
        <w:rPr>
          <w:rFonts w:cs="Arial"/>
          <w:iCs/>
          <w:lang w:val="en-GB"/>
        </w:rPr>
        <w:t xml:space="preserve">regarding the TCFD </w:t>
      </w:r>
      <w:r w:rsidRPr="006C6A87">
        <w:rPr>
          <w:rFonts w:cs="Arial"/>
          <w:iCs/>
          <w:lang w:val="en-GB"/>
        </w:rPr>
        <w:t xml:space="preserve">and </w:t>
      </w:r>
      <w:r w:rsidR="00C84C25" w:rsidRPr="006C6A87">
        <w:rPr>
          <w:rFonts w:cs="Arial"/>
          <w:iCs/>
          <w:lang w:val="en-GB"/>
        </w:rPr>
        <w:t xml:space="preserve">also </w:t>
      </w:r>
      <w:r w:rsidRPr="006C6A87">
        <w:rPr>
          <w:rFonts w:cs="Arial"/>
          <w:iCs/>
          <w:lang w:val="en-GB"/>
        </w:rPr>
        <w:t xml:space="preserve">consider </w:t>
      </w:r>
      <w:r w:rsidR="00500279" w:rsidRPr="006C6A87">
        <w:rPr>
          <w:rFonts w:cs="Arial"/>
          <w:iCs/>
          <w:lang w:val="en-GB"/>
        </w:rPr>
        <w:t>reporting</w:t>
      </w:r>
      <w:r w:rsidR="00DC0F4C" w:rsidRPr="00E87895">
        <w:rPr>
          <w:iCs/>
        </w:rPr>
        <w:t xml:space="preserve"> </w:t>
      </w:r>
      <w:r w:rsidR="00CB2F24" w:rsidRPr="002923FE">
        <w:rPr>
          <w:rFonts w:cs="Arial"/>
          <w:iCs/>
          <w:lang w:val="en-GB"/>
        </w:rPr>
        <w:t>according to the Task Force on Nature-related Financial Disclosure (TNFD)</w:t>
      </w:r>
      <w:bookmarkStart w:id="14" w:name="_Hlk83133701"/>
      <w:r w:rsidR="00CB2F24" w:rsidRPr="002923FE">
        <w:rPr>
          <w:rFonts w:cs="Arial"/>
          <w:iCs/>
        </w:rPr>
        <w:footnoteReference w:id="11"/>
      </w:r>
      <w:bookmarkEnd w:id="14"/>
      <w:r w:rsidR="00CB2F24" w:rsidRPr="00CE6D77">
        <w:rPr>
          <w:rFonts w:cs="Arial"/>
          <w:iCs/>
          <w:lang w:val="en-GB"/>
        </w:rPr>
        <w:t xml:space="preserve"> once these recommendations are </w:t>
      </w:r>
      <w:r w:rsidR="007E7A2A" w:rsidRPr="003859C5">
        <w:rPr>
          <w:rFonts w:cs="Arial"/>
          <w:iCs/>
          <w:lang w:val="en-GB"/>
        </w:rPr>
        <w:t>launched</w:t>
      </w:r>
      <w:r w:rsidR="00CB2F24" w:rsidRPr="003859C5">
        <w:rPr>
          <w:rFonts w:cs="Arial"/>
          <w:iCs/>
          <w:lang w:val="en-GB"/>
        </w:rPr>
        <w:t>.</w:t>
      </w:r>
    </w:p>
    <w:p w14:paraId="31E4C2C8" w14:textId="77777777" w:rsidR="001274B2" w:rsidRPr="00E87895" w:rsidRDefault="00C940CB" w:rsidP="002923FE">
      <w:pPr>
        <w:pStyle w:val="berschrift2"/>
        <w:spacing w:before="120" w:after="0"/>
        <w:ind w:left="431" w:hanging="431"/>
      </w:pPr>
      <w:bookmarkStart w:id="15" w:name="_Toc84520029"/>
      <w:r w:rsidRPr="002923FE">
        <w:rPr>
          <w:rFonts w:ascii="Arial" w:hAnsi="Arial"/>
        </w:rPr>
        <w:t>Dimension</w:t>
      </w:r>
      <w:r w:rsidR="00304C01" w:rsidRPr="002923FE">
        <w:rPr>
          <w:rFonts w:ascii="Arial" w:hAnsi="Arial"/>
        </w:rPr>
        <w:t xml:space="preserve"> </w:t>
      </w:r>
      <w:r w:rsidR="001274B2" w:rsidRPr="002923FE">
        <w:rPr>
          <w:rFonts w:ascii="Arial" w:hAnsi="Arial"/>
        </w:rPr>
        <w:t>2: Ambition of fossil fuel exclusion or restriction policies</w:t>
      </w:r>
      <w:bookmarkEnd w:id="15"/>
    </w:p>
    <w:p w14:paraId="30115051" w14:textId="77777777" w:rsidR="00CD2E0C" w:rsidRPr="00FC1E5A" w:rsidRDefault="00D14F21" w:rsidP="00493C62">
      <w:pPr>
        <w:spacing w:before="120" w:after="0"/>
        <w:rPr>
          <w:rFonts w:cs="Arial"/>
          <w:lang w:val="en-GB"/>
        </w:rPr>
      </w:pPr>
      <w:r>
        <w:rPr>
          <w:rFonts w:cs="Arial"/>
          <w:lang w:val="en-GB"/>
        </w:rPr>
        <w:t>The second assessment d</w:t>
      </w:r>
      <w:r w:rsidR="00257371">
        <w:rPr>
          <w:rFonts w:cs="Arial"/>
          <w:lang w:val="en-GB"/>
        </w:rPr>
        <w:t>imension</w:t>
      </w:r>
      <w:r w:rsidR="001274B2" w:rsidRPr="00FC1E5A">
        <w:rPr>
          <w:rFonts w:cs="Arial"/>
          <w:lang w:val="en-GB"/>
        </w:rPr>
        <w:t xml:space="preserve"> is underpinned by </w:t>
      </w:r>
      <w:r w:rsidR="001274B2" w:rsidRPr="00D14F21">
        <w:rPr>
          <w:rFonts w:cs="Arial"/>
          <w:lang w:val="en-GB"/>
        </w:rPr>
        <w:t>three key questions</w:t>
      </w:r>
      <w:r>
        <w:rPr>
          <w:rFonts w:cs="Arial"/>
          <w:lang w:val="en-GB"/>
        </w:rPr>
        <w:t xml:space="preserve"> covering the </w:t>
      </w:r>
      <w:r w:rsidR="001274B2" w:rsidRPr="00FC1E5A">
        <w:rPr>
          <w:rFonts w:cs="Arial"/>
          <w:lang w:val="en-GB"/>
        </w:rPr>
        <w:t xml:space="preserve">ambition of fossil fuel exclusions and/or restriction policies </w:t>
      </w:r>
      <w:r>
        <w:rPr>
          <w:rFonts w:cs="Arial"/>
          <w:lang w:val="en-GB"/>
        </w:rPr>
        <w:t>by type of fossil fuel</w:t>
      </w:r>
      <w:r w:rsidR="001274B2" w:rsidRPr="00FC1E5A">
        <w:rPr>
          <w:rFonts w:cs="Arial"/>
          <w:lang w:val="en-GB"/>
        </w:rPr>
        <w:t xml:space="preserve">. </w:t>
      </w:r>
      <w:r w:rsidR="0063722E">
        <w:rPr>
          <w:rFonts w:cs="Arial"/>
          <w:lang w:val="en-GB"/>
        </w:rPr>
        <w:t>V</w:t>
      </w:r>
      <w:r w:rsidR="001274B2" w:rsidRPr="00FC1E5A">
        <w:rPr>
          <w:rFonts w:cs="Arial"/>
          <w:lang w:val="en-GB"/>
        </w:rPr>
        <w:t xml:space="preserve">ery few countries </w:t>
      </w:r>
      <w:r w:rsidR="0063722E">
        <w:rPr>
          <w:rFonts w:cs="Arial"/>
          <w:lang w:val="en-GB"/>
        </w:rPr>
        <w:t xml:space="preserve">currently have </w:t>
      </w:r>
      <w:r w:rsidR="001274B2" w:rsidRPr="00FC1E5A">
        <w:rPr>
          <w:rFonts w:cs="Arial"/>
          <w:lang w:val="en-GB"/>
        </w:rPr>
        <w:t xml:space="preserve">explicit </w:t>
      </w:r>
      <w:r w:rsidR="0063722E">
        <w:rPr>
          <w:rFonts w:cs="Arial"/>
          <w:lang w:val="en-GB"/>
        </w:rPr>
        <w:t>policies</w:t>
      </w:r>
      <w:r w:rsidR="001274B2" w:rsidRPr="00FC1E5A">
        <w:rPr>
          <w:rFonts w:cs="Arial"/>
          <w:lang w:val="en-GB"/>
        </w:rPr>
        <w:t xml:space="preserve"> in place </w:t>
      </w:r>
      <w:r w:rsidR="0063722E">
        <w:rPr>
          <w:rFonts w:cs="Arial"/>
          <w:lang w:val="en-GB"/>
        </w:rPr>
        <w:t xml:space="preserve">to transform ECA </w:t>
      </w:r>
      <w:r w:rsidR="001274B2" w:rsidRPr="00FC1E5A">
        <w:rPr>
          <w:rFonts w:cs="Arial"/>
          <w:lang w:val="en-GB"/>
        </w:rPr>
        <w:t>portfolios</w:t>
      </w:r>
      <w:r w:rsidR="0063722E">
        <w:rPr>
          <w:rFonts w:cs="Arial"/>
          <w:lang w:val="en-GB"/>
        </w:rPr>
        <w:t>, and especially their energy sector portfolios, to the degree necessary to align with the Paris Agreement</w:t>
      </w:r>
      <w:r w:rsidR="00CA4A85">
        <w:rPr>
          <w:rFonts w:cs="Arial"/>
          <w:lang w:val="en-GB"/>
        </w:rPr>
        <w:t xml:space="preserve"> (Shishlov et al. 2020)</w:t>
      </w:r>
      <w:r w:rsidR="001274B2" w:rsidRPr="00FC1E5A">
        <w:rPr>
          <w:rFonts w:cs="Arial"/>
          <w:lang w:val="en-GB"/>
        </w:rPr>
        <w:t>.</w:t>
      </w:r>
      <w:r w:rsidR="00211CAC">
        <w:rPr>
          <w:rFonts w:cs="Arial"/>
          <w:lang w:val="en-GB"/>
        </w:rPr>
        <w:t xml:space="preserve"> One leading example is the UK – which </w:t>
      </w:r>
      <w:r w:rsidR="00870072">
        <w:rPr>
          <w:rFonts w:cs="Arial"/>
          <w:lang w:val="en-GB"/>
        </w:rPr>
        <w:t>since</w:t>
      </w:r>
      <w:r w:rsidR="00211CAC">
        <w:rPr>
          <w:rFonts w:cs="Arial"/>
          <w:lang w:val="en-GB"/>
        </w:rPr>
        <w:t xml:space="preserve"> </w:t>
      </w:r>
      <w:r w:rsidR="00870072">
        <w:rPr>
          <w:rFonts w:cs="Arial"/>
          <w:lang w:val="en-GB"/>
        </w:rPr>
        <w:t xml:space="preserve">early </w:t>
      </w:r>
      <w:r w:rsidR="00211CAC">
        <w:rPr>
          <w:rFonts w:cs="Arial"/>
          <w:lang w:val="en-GB"/>
        </w:rPr>
        <w:t>202</w:t>
      </w:r>
      <w:r w:rsidR="00DB55B0">
        <w:rPr>
          <w:rFonts w:cs="Arial"/>
          <w:lang w:val="en-GB"/>
        </w:rPr>
        <w:t>1</w:t>
      </w:r>
      <w:r w:rsidR="00211CAC">
        <w:rPr>
          <w:rFonts w:cs="Arial"/>
          <w:lang w:val="en-GB"/>
        </w:rPr>
        <w:t xml:space="preserve"> ceas</w:t>
      </w:r>
      <w:r w:rsidR="00870072">
        <w:rPr>
          <w:rFonts w:cs="Arial"/>
          <w:lang w:val="en-GB"/>
        </w:rPr>
        <w:t>ed</w:t>
      </w:r>
      <w:r w:rsidR="00211CAC">
        <w:rPr>
          <w:rFonts w:cs="Arial"/>
          <w:lang w:val="en-GB"/>
        </w:rPr>
        <w:t xml:space="preserve"> support for all types of fossil fuels in officially supported export finance</w:t>
      </w:r>
      <w:r w:rsidR="00A02897">
        <w:rPr>
          <w:rFonts w:cs="Arial"/>
          <w:lang w:val="en-GB"/>
        </w:rPr>
        <w:t xml:space="preserve"> </w:t>
      </w:r>
      <w:r w:rsidR="00422057">
        <w:rPr>
          <w:rFonts w:cs="Arial"/>
          <w:lang w:val="en-GB"/>
        </w:rPr>
        <w:t>following</w:t>
      </w:r>
      <w:r w:rsidR="00A02897">
        <w:rPr>
          <w:rFonts w:cs="Arial"/>
          <w:lang w:val="en-GB"/>
        </w:rPr>
        <w:t xml:space="preserve"> an announcement by Prime Minister Johnson</w:t>
      </w:r>
      <w:r w:rsidR="00A8783F">
        <w:rPr>
          <w:rFonts w:cs="Arial"/>
          <w:lang w:val="en-GB"/>
        </w:rPr>
        <w:t xml:space="preserve"> </w:t>
      </w:r>
      <w:r w:rsidR="00211CAC">
        <w:rPr>
          <w:rFonts w:cs="Arial"/>
          <w:lang w:val="en-GB"/>
        </w:rPr>
        <w:t>(</w:t>
      </w:r>
      <w:r w:rsidR="002B0250">
        <w:rPr>
          <w:rFonts w:cs="Arial"/>
          <w:lang w:val="en-GB"/>
        </w:rPr>
        <w:t xml:space="preserve">The </w:t>
      </w:r>
      <w:r w:rsidR="002B0250" w:rsidRPr="002B0250">
        <w:rPr>
          <w:rFonts w:cs="Arial"/>
          <w:lang w:val="en-GB"/>
        </w:rPr>
        <w:t>Prime Minister´s Office</w:t>
      </w:r>
      <w:r w:rsidR="002B0250">
        <w:rPr>
          <w:rFonts w:cs="Arial"/>
          <w:lang w:val="en-GB"/>
        </w:rPr>
        <w:t xml:space="preserve"> 2020).</w:t>
      </w:r>
      <w:r w:rsidR="002954E7">
        <w:rPr>
          <w:rFonts w:cs="Arial"/>
          <w:lang w:val="en-GB"/>
        </w:rPr>
        <w:t xml:space="preserve"> T</w:t>
      </w:r>
      <w:r w:rsidR="00F903F7">
        <w:rPr>
          <w:rFonts w:cs="Arial"/>
          <w:lang w:val="en-GB"/>
        </w:rPr>
        <w:t xml:space="preserve">he majority of G20 </w:t>
      </w:r>
      <w:r w:rsidR="001274B2" w:rsidRPr="00FC1E5A">
        <w:rPr>
          <w:rFonts w:cs="Arial"/>
          <w:lang w:val="en-GB"/>
        </w:rPr>
        <w:t>ECAs only make broad statements and commitments related to social and environmental sustainability</w:t>
      </w:r>
      <w:r w:rsidR="001E3A1C">
        <w:rPr>
          <w:rFonts w:cs="Arial"/>
          <w:lang w:val="en-GB"/>
        </w:rPr>
        <w:t xml:space="preserve">, e.g., as communicated </w:t>
      </w:r>
      <w:r w:rsidR="001274B2" w:rsidRPr="00FC1E5A">
        <w:rPr>
          <w:rFonts w:cs="Arial"/>
          <w:lang w:val="en-GB"/>
        </w:rPr>
        <w:t xml:space="preserve">through their </w:t>
      </w:r>
      <w:r w:rsidR="00401C25" w:rsidRPr="00FC1E5A">
        <w:rPr>
          <w:rFonts w:cs="Arial"/>
          <w:lang w:val="en-GB"/>
        </w:rPr>
        <w:t xml:space="preserve">corporate social responsibility </w:t>
      </w:r>
      <w:r w:rsidR="006711E4">
        <w:rPr>
          <w:rFonts w:cs="Arial"/>
          <w:lang w:val="en-GB"/>
        </w:rPr>
        <w:t xml:space="preserve">(CSR) </w:t>
      </w:r>
      <w:r w:rsidR="001274B2" w:rsidRPr="00FC1E5A">
        <w:rPr>
          <w:rFonts w:cs="Arial"/>
          <w:lang w:val="en-GB"/>
        </w:rPr>
        <w:t>strategies and reports.</w:t>
      </w:r>
      <w:r w:rsidR="00D74DBE">
        <w:rPr>
          <w:rFonts w:cs="Arial"/>
          <w:lang w:val="en-GB"/>
        </w:rPr>
        <w:t xml:space="preserve"> </w:t>
      </w:r>
      <w:r w:rsidR="007A72EE">
        <w:rPr>
          <w:rFonts w:cs="Arial"/>
          <w:lang w:val="en-GB"/>
        </w:rPr>
        <w:t>Due to the pre</w:t>
      </w:r>
      <w:r w:rsidR="006359F7">
        <w:rPr>
          <w:rFonts w:cs="Arial"/>
          <w:lang w:val="en-GB"/>
        </w:rPr>
        <w:t>-</w:t>
      </w:r>
      <w:r w:rsidR="007A72EE">
        <w:rPr>
          <w:rFonts w:cs="Arial"/>
          <w:lang w:val="en-GB"/>
        </w:rPr>
        <w:t xml:space="preserve">eminent importance </w:t>
      </w:r>
      <w:r w:rsidR="006359F7">
        <w:rPr>
          <w:rFonts w:cs="Arial"/>
          <w:lang w:val="en-GB"/>
        </w:rPr>
        <w:t xml:space="preserve">– with regards to achieving the Paris climate goals – </w:t>
      </w:r>
      <w:r w:rsidR="007A72EE">
        <w:rPr>
          <w:rFonts w:cs="Arial"/>
          <w:lang w:val="en-GB"/>
        </w:rPr>
        <w:t xml:space="preserve">of </w:t>
      </w:r>
      <w:r w:rsidR="002A3012">
        <w:rPr>
          <w:rFonts w:cs="Arial"/>
          <w:lang w:val="en-GB"/>
        </w:rPr>
        <w:t xml:space="preserve">rapid phase out of support for </w:t>
      </w:r>
      <w:r w:rsidR="00060EC7">
        <w:rPr>
          <w:rFonts w:cs="Arial"/>
          <w:lang w:val="en-GB"/>
        </w:rPr>
        <w:t>fossil fuel value chains</w:t>
      </w:r>
      <w:r w:rsidR="00E17886">
        <w:rPr>
          <w:rFonts w:cs="Arial"/>
          <w:lang w:val="en-GB"/>
        </w:rPr>
        <w:t xml:space="preserve">, the methodology weighs this assessment dimension </w:t>
      </w:r>
      <w:r w:rsidR="00551C1F">
        <w:rPr>
          <w:rFonts w:cs="Arial"/>
          <w:lang w:val="en-GB"/>
        </w:rPr>
        <w:t xml:space="preserve">with 40% </w:t>
      </w:r>
      <w:r w:rsidR="00592923">
        <w:rPr>
          <w:rFonts w:cs="Arial"/>
          <w:lang w:val="en-GB"/>
        </w:rPr>
        <w:t>(Shishlov et al. 2021)</w:t>
      </w:r>
      <w:r w:rsidR="00551C1F">
        <w:rPr>
          <w:rFonts w:cs="Arial"/>
          <w:lang w:val="en-GB"/>
        </w:rPr>
        <w:t xml:space="preserve">. </w:t>
      </w:r>
      <w:r w:rsidR="00954A7B">
        <w:rPr>
          <w:rFonts w:cs="Arial"/>
          <w:lang w:val="en-GB"/>
        </w:rPr>
        <w:t xml:space="preserve">Phasing out support for all fossil fuels </w:t>
      </w:r>
      <w:r w:rsidR="006359F7">
        <w:rPr>
          <w:rFonts w:cs="Arial"/>
          <w:lang w:val="en-GB"/>
        </w:rPr>
        <w:t xml:space="preserve">was </w:t>
      </w:r>
      <w:r w:rsidR="00954A7B">
        <w:rPr>
          <w:rFonts w:cs="Arial"/>
          <w:lang w:val="en-GB"/>
        </w:rPr>
        <w:t xml:space="preserve">already advised to the Dutch government by several civil society actors (e.g., Both ENDS 2017; 2019; </w:t>
      </w:r>
      <w:proofErr w:type="spellStart"/>
      <w:r w:rsidR="00954A7B">
        <w:rPr>
          <w:rFonts w:cs="Arial"/>
          <w:lang w:val="en-GB"/>
        </w:rPr>
        <w:t>Milieudefensie</w:t>
      </w:r>
      <w:proofErr w:type="spellEnd"/>
      <w:r w:rsidR="00954A7B">
        <w:rPr>
          <w:rFonts w:cs="Arial"/>
          <w:lang w:val="en-GB"/>
        </w:rPr>
        <w:t xml:space="preserve"> 2021b) as well as t</w:t>
      </w:r>
      <w:r w:rsidR="00954A7B" w:rsidRPr="00483A9A">
        <w:rPr>
          <w:rFonts w:cs="Arial"/>
          <w:lang w:val="en-GB"/>
        </w:rPr>
        <w:t xml:space="preserve">he Advisory Council on International Affairs </w:t>
      </w:r>
      <w:r w:rsidR="00954A7B">
        <w:rPr>
          <w:rFonts w:cs="Arial"/>
          <w:lang w:val="en-GB"/>
        </w:rPr>
        <w:t>(AIV 2019).</w:t>
      </w:r>
    </w:p>
    <w:p w14:paraId="23430F37" w14:textId="77777777" w:rsidR="00856695" w:rsidRPr="00FC1E5A" w:rsidRDefault="00912928" w:rsidP="00493C62">
      <w:pPr>
        <w:spacing w:before="120" w:after="120"/>
        <w:rPr>
          <w:rFonts w:cs="Arial"/>
          <w:lang w:val="en-GB"/>
        </w:rPr>
      </w:pPr>
      <w:r>
        <w:rPr>
          <w:rFonts w:cs="Arial"/>
          <w:b/>
          <w:bCs/>
          <w:lang w:val="en-GB"/>
        </w:rPr>
        <w:t xml:space="preserve">In this assessment dimension, </w:t>
      </w:r>
      <w:r w:rsidR="00F77C83">
        <w:rPr>
          <w:rFonts w:cs="Arial"/>
          <w:b/>
          <w:bCs/>
          <w:lang w:val="en-GB"/>
        </w:rPr>
        <w:t>officially supported Dutch export finance</w:t>
      </w:r>
      <w:r w:rsidR="001274B2" w:rsidRPr="00FC1E5A">
        <w:rPr>
          <w:rFonts w:cs="Arial"/>
          <w:b/>
          <w:bCs/>
          <w:lang w:val="en-GB"/>
        </w:rPr>
        <w:t xml:space="preserve"> </w:t>
      </w:r>
      <w:r w:rsidR="006359F7">
        <w:rPr>
          <w:rFonts w:cs="Arial"/>
          <w:b/>
          <w:bCs/>
          <w:lang w:val="en-GB"/>
        </w:rPr>
        <w:t>was</w:t>
      </w:r>
      <w:r w:rsidR="006359F7" w:rsidRPr="00FC1E5A">
        <w:rPr>
          <w:rFonts w:cs="Arial"/>
          <w:b/>
          <w:bCs/>
          <w:lang w:val="en-GB"/>
        </w:rPr>
        <w:t xml:space="preserve"> </w:t>
      </w:r>
      <w:r w:rsidR="001274B2" w:rsidRPr="00FC1E5A">
        <w:rPr>
          <w:rFonts w:cs="Arial"/>
          <w:b/>
          <w:bCs/>
          <w:lang w:val="en-GB"/>
        </w:rPr>
        <w:t xml:space="preserve">rated as </w:t>
      </w:r>
      <w:r w:rsidR="00BA53BA" w:rsidRPr="00FC1E5A">
        <w:rPr>
          <w:rFonts w:cs="Arial"/>
          <w:b/>
          <w:bCs/>
          <w:lang w:val="en-GB"/>
        </w:rPr>
        <w:t>‘</w:t>
      </w:r>
      <w:r w:rsidR="00DF0732">
        <w:rPr>
          <w:rFonts w:cs="Arial"/>
          <w:b/>
          <w:bCs/>
          <w:lang w:val="en-GB"/>
        </w:rPr>
        <w:t>Unaligned</w:t>
      </w:r>
      <w:r w:rsidR="00BA53BA" w:rsidRPr="00FC1E5A">
        <w:rPr>
          <w:rFonts w:cs="Arial"/>
          <w:b/>
          <w:bCs/>
          <w:lang w:val="en-GB"/>
        </w:rPr>
        <w:t>’</w:t>
      </w:r>
      <w:r w:rsidR="001274B2" w:rsidRPr="00FC1E5A">
        <w:rPr>
          <w:rFonts w:cs="Arial"/>
          <w:b/>
          <w:bCs/>
          <w:lang w:val="en-GB"/>
        </w:rPr>
        <w:t xml:space="preserve"> with a</w:t>
      </w:r>
      <w:r w:rsidR="000A499B">
        <w:rPr>
          <w:rFonts w:cs="Arial"/>
          <w:b/>
          <w:bCs/>
          <w:lang w:val="en-GB"/>
        </w:rPr>
        <w:t>n assessment</w:t>
      </w:r>
      <w:r w:rsidR="00235A75">
        <w:rPr>
          <w:rFonts w:cs="Arial"/>
          <w:b/>
          <w:bCs/>
          <w:lang w:val="en-GB"/>
        </w:rPr>
        <w:t xml:space="preserve"> </w:t>
      </w:r>
      <w:r w:rsidR="007F6977">
        <w:rPr>
          <w:rFonts w:cs="Arial"/>
          <w:b/>
          <w:bCs/>
          <w:lang w:val="en-GB"/>
        </w:rPr>
        <w:t xml:space="preserve">dimension </w:t>
      </w:r>
      <w:r w:rsidR="001274B2" w:rsidRPr="00FC1E5A">
        <w:rPr>
          <w:rFonts w:cs="Arial"/>
          <w:b/>
          <w:bCs/>
          <w:lang w:val="en-GB"/>
        </w:rPr>
        <w:t>sub-score of 0.</w:t>
      </w:r>
      <w:r w:rsidR="00991A62">
        <w:rPr>
          <w:rFonts w:cs="Arial"/>
          <w:b/>
          <w:bCs/>
          <w:lang w:val="en-GB"/>
        </w:rPr>
        <w:t>33</w:t>
      </w:r>
      <w:r w:rsidR="00DB1842" w:rsidRPr="00FC1E5A">
        <w:rPr>
          <w:rFonts w:cs="Arial"/>
          <w:b/>
          <w:bCs/>
          <w:lang w:val="en-GB"/>
        </w:rPr>
        <w:t>/3.00</w:t>
      </w:r>
      <w:r w:rsidR="001274B2" w:rsidRPr="00FC1E5A">
        <w:rPr>
          <w:rFonts w:cs="Arial"/>
          <w:lang w:val="en-GB"/>
        </w:rPr>
        <w:t xml:space="preserve">. </w:t>
      </w:r>
      <w:r w:rsidR="00F77C83">
        <w:rPr>
          <w:rFonts w:cs="Arial"/>
          <w:lang w:val="en-GB"/>
        </w:rPr>
        <w:t xml:space="preserve">While </w:t>
      </w:r>
      <w:r w:rsidR="00A473AB">
        <w:rPr>
          <w:rFonts w:cs="Arial"/>
          <w:lang w:val="en-GB"/>
        </w:rPr>
        <w:t xml:space="preserve">important announcements on </w:t>
      </w:r>
      <w:r w:rsidR="00AB67EF">
        <w:rPr>
          <w:rFonts w:cs="Arial"/>
          <w:lang w:val="en-GB"/>
        </w:rPr>
        <w:t xml:space="preserve">the exclusion of </w:t>
      </w:r>
      <w:r w:rsidR="00A473AB">
        <w:rPr>
          <w:rFonts w:cs="Arial"/>
          <w:lang w:val="en-GB"/>
        </w:rPr>
        <w:t xml:space="preserve">thermal coal have been made and several options for foreseeable fossil fuel phase out exist (see Ministry of Finance 2021b), </w:t>
      </w:r>
      <w:r w:rsidR="007C15DC">
        <w:rPr>
          <w:rFonts w:cs="Arial"/>
          <w:lang w:val="en-GB"/>
        </w:rPr>
        <w:t xml:space="preserve">these commitments currently </w:t>
      </w:r>
      <w:r w:rsidR="00D61813">
        <w:rPr>
          <w:rFonts w:cs="Arial"/>
          <w:lang w:val="en-GB"/>
        </w:rPr>
        <w:t xml:space="preserve">lack formalization and concreteness. </w:t>
      </w:r>
      <w:r w:rsidR="005405E8">
        <w:rPr>
          <w:rFonts w:cs="Arial"/>
          <w:lang w:val="en-GB"/>
        </w:rPr>
        <w:t xml:space="preserve">We scored </w:t>
      </w:r>
      <w:r w:rsidR="005A1F58">
        <w:rPr>
          <w:rFonts w:cs="Arial"/>
          <w:lang w:val="en-GB"/>
        </w:rPr>
        <w:t>Q2.1</w:t>
      </w:r>
      <w:r w:rsidR="005405E8">
        <w:rPr>
          <w:rFonts w:cs="Arial"/>
          <w:lang w:val="en-GB"/>
        </w:rPr>
        <w:t xml:space="preserve"> with</w:t>
      </w:r>
      <w:r w:rsidR="005A1F58">
        <w:rPr>
          <w:rFonts w:cs="Arial"/>
          <w:lang w:val="en-GB"/>
        </w:rPr>
        <w:t xml:space="preserve"> </w:t>
      </w:r>
      <w:r w:rsidR="0028732D">
        <w:rPr>
          <w:rFonts w:cs="Arial"/>
          <w:lang w:val="en-GB"/>
        </w:rPr>
        <w:t>‘</w:t>
      </w:r>
      <w:r w:rsidR="005A1F58">
        <w:rPr>
          <w:rFonts w:cs="Arial"/>
          <w:lang w:val="en-GB"/>
        </w:rPr>
        <w:t>Some progress</w:t>
      </w:r>
      <w:r w:rsidR="0028732D">
        <w:rPr>
          <w:rFonts w:cs="Arial"/>
          <w:lang w:val="en-GB"/>
        </w:rPr>
        <w:t>’</w:t>
      </w:r>
      <w:r w:rsidR="005A1F58">
        <w:rPr>
          <w:rFonts w:cs="Arial"/>
          <w:lang w:val="en-GB"/>
        </w:rPr>
        <w:t xml:space="preserve"> </w:t>
      </w:r>
      <w:r w:rsidR="004F014B">
        <w:rPr>
          <w:rFonts w:cs="Arial"/>
          <w:lang w:val="en-GB"/>
        </w:rPr>
        <w:t xml:space="preserve">due to </w:t>
      </w:r>
      <w:r w:rsidR="004F014B" w:rsidRPr="00CB0457">
        <w:rPr>
          <w:rFonts w:cs="Arial"/>
          <w:lang w:val="en-GB"/>
        </w:rPr>
        <w:t>the minuscule share of projects supported alongside coal-related value chains</w:t>
      </w:r>
      <w:r w:rsidR="00401A68">
        <w:rPr>
          <w:rFonts w:cs="Arial"/>
          <w:lang w:val="en-GB"/>
        </w:rPr>
        <w:t xml:space="preserve"> and the explicitness of the E3F initiative, of which the Netherlands </w:t>
      </w:r>
      <w:r w:rsidR="00B24CEB">
        <w:rPr>
          <w:rFonts w:cs="Arial"/>
          <w:lang w:val="en-GB"/>
        </w:rPr>
        <w:t>is</w:t>
      </w:r>
      <w:r w:rsidR="00401A68">
        <w:rPr>
          <w:rFonts w:cs="Arial"/>
          <w:lang w:val="en-GB"/>
        </w:rPr>
        <w:t xml:space="preserve"> part of, with regards to ending export finance for</w:t>
      </w:r>
      <w:r w:rsidR="00F07860">
        <w:rPr>
          <w:rFonts w:cs="Arial"/>
          <w:lang w:val="en-GB"/>
        </w:rPr>
        <w:t xml:space="preserve"> </w:t>
      </w:r>
      <w:r w:rsidR="0014140A">
        <w:rPr>
          <w:rFonts w:cs="Arial"/>
          <w:lang w:val="en-GB"/>
        </w:rPr>
        <w:t xml:space="preserve">significant </w:t>
      </w:r>
      <w:r w:rsidR="00F07860">
        <w:rPr>
          <w:rFonts w:cs="Arial"/>
          <w:lang w:val="en-GB"/>
        </w:rPr>
        <w:t>parts of</w:t>
      </w:r>
      <w:r w:rsidR="00401A68">
        <w:rPr>
          <w:rFonts w:cs="Arial"/>
          <w:lang w:val="en-GB"/>
        </w:rPr>
        <w:t xml:space="preserve"> thermal coal-related </w:t>
      </w:r>
      <w:r w:rsidR="00F07860">
        <w:rPr>
          <w:rFonts w:cs="Arial"/>
          <w:lang w:val="en-GB"/>
        </w:rPr>
        <w:t>value chains</w:t>
      </w:r>
      <w:r w:rsidR="004F014B">
        <w:rPr>
          <w:rFonts w:cs="Arial"/>
          <w:lang w:val="en-GB"/>
        </w:rPr>
        <w:t xml:space="preserve">. </w:t>
      </w:r>
      <w:r w:rsidR="00E8746B">
        <w:rPr>
          <w:rFonts w:cs="Arial"/>
          <w:lang w:val="en-GB"/>
        </w:rPr>
        <w:t xml:space="preserve">Q2.2 </w:t>
      </w:r>
      <w:r w:rsidR="00DA4938">
        <w:rPr>
          <w:rFonts w:cs="Arial"/>
          <w:lang w:val="en-GB"/>
        </w:rPr>
        <w:t xml:space="preserve">and Q2.3 were </w:t>
      </w:r>
      <w:r w:rsidR="00E8746B">
        <w:rPr>
          <w:rFonts w:cs="Arial"/>
          <w:lang w:val="en-GB"/>
        </w:rPr>
        <w:t>rated ‘</w:t>
      </w:r>
      <w:r w:rsidR="00DA4938">
        <w:rPr>
          <w:rFonts w:cs="Arial"/>
          <w:lang w:val="en-GB"/>
        </w:rPr>
        <w:t>Unaligned</w:t>
      </w:r>
      <w:r w:rsidR="00E8746B">
        <w:rPr>
          <w:rFonts w:cs="Arial"/>
          <w:lang w:val="en-GB"/>
        </w:rPr>
        <w:t>’ due to</w:t>
      </w:r>
      <w:r w:rsidR="000D4CCC">
        <w:rPr>
          <w:rFonts w:cs="Arial"/>
          <w:lang w:val="en-GB"/>
        </w:rPr>
        <w:t xml:space="preserve"> the absence of formalized exclusion or restriction policies as well as the absence of formalized phase out plans for all types of fossil fuels and related value chains. We positively noted</w:t>
      </w:r>
      <w:r w:rsidR="00E8746B">
        <w:rPr>
          <w:rFonts w:cs="Arial"/>
          <w:lang w:val="en-GB"/>
        </w:rPr>
        <w:t xml:space="preserve"> the stop of support for activities involving unconventional extraction methods and routine flaring of gas</w:t>
      </w:r>
      <w:r w:rsidR="00C816BC">
        <w:rPr>
          <w:rFonts w:cs="Arial"/>
          <w:lang w:val="en-GB"/>
        </w:rPr>
        <w:t>, which however was not sufficient to improve the score</w:t>
      </w:r>
      <w:r w:rsidR="00E8746B">
        <w:rPr>
          <w:rFonts w:cs="Arial"/>
          <w:lang w:val="en-GB"/>
        </w:rPr>
        <w:t xml:space="preserve">. </w:t>
      </w:r>
    </w:p>
    <w:tbl>
      <w:tblPr>
        <w:tblStyle w:val="Tabellenraster"/>
        <w:tblW w:w="9019" w:type="dxa"/>
        <w:tblInd w:w="-5" w:type="dxa"/>
        <w:tblLook w:val="04A0" w:firstRow="1" w:lastRow="0" w:firstColumn="1" w:lastColumn="0" w:noHBand="0" w:noVBand="1"/>
      </w:tblPr>
      <w:tblGrid>
        <w:gridCol w:w="742"/>
        <w:gridCol w:w="7030"/>
        <w:gridCol w:w="1247"/>
      </w:tblGrid>
      <w:tr w:rsidR="00856695" w:rsidRPr="00FC1E5A" w14:paraId="3B3E5EF5" w14:textId="77777777" w:rsidTr="00872CC6">
        <w:trPr>
          <w:trHeight w:val="340"/>
          <w:tblHeader/>
        </w:trPr>
        <w:tc>
          <w:tcPr>
            <w:tcW w:w="742" w:type="dxa"/>
          </w:tcPr>
          <w:p w14:paraId="5EAB7803" w14:textId="77777777" w:rsidR="00856695" w:rsidRPr="00FC1E5A" w:rsidRDefault="00856695" w:rsidP="00872CC6">
            <w:pPr>
              <w:spacing w:after="120"/>
              <w:rPr>
                <w:rFonts w:cs="Arial"/>
                <w:sz w:val="18"/>
                <w:szCs w:val="18"/>
                <w:lang w:val="en-GB"/>
              </w:rPr>
            </w:pPr>
            <w:r w:rsidRPr="00FC1E5A">
              <w:rPr>
                <w:rFonts w:cs="Arial"/>
                <w:b/>
                <w:bCs/>
                <w:sz w:val="18"/>
                <w:szCs w:val="18"/>
                <w:lang w:val="en-GB"/>
              </w:rPr>
              <w:t>Q Nr.</w:t>
            </w:r>
          </w:p>
        </w:tc>
        <w:tc>
          <w:tcPr>
            <w:tcW w:w="7030" w:type="dxa"/>
          </w:tcPr>
          <w:p w14:paraId="7327EC6B" w14:textId="77777777" w:rsidR="00856695" w:rsidRPr="00FC1E5A" w:rsidRDefault="00856695" w:rsidP="00872CC6">
            <w:pPr>
              <w:spacing w:after="120"/>
              <w:rPr>
                <w:rFonts w:cs="Arial"/>
                <w:sz w:val="18"/>
                <w:szCs w:val="18"/>
                <w:lang w:val="en-GB"/>
              </w:rPr>
            </w:pPr>
            <w:r>
              <w:rPr>
                <w:rFonts w:cs="Arial"/>
                <w:b/>
                <w:bCs/>
                <w:sz w:val="18"/>
                <w:szCs w:val="18"/>
                <w:lang w:val="en-GB"/>
              </w:rPr>
              <w:t>Dimension</w:t>
            </w:r>
            <w:r w:rsidRPr="00FC1E5A">
              <w:rPr>
                <w:rFonts w:cs="Arial"/>
                <w:b/>
                <w:bCs/>
                <w:sz w:val="18"/>
                <w:szCs w:val="18"/>
                <w:lang w:val="en-GB"/>
              </w:rPr>
              <w:t xml:space="preserve"> 3 – key questions</w:t>
            </w:r>
          </w:p>
        </w:tc>
        <w:tc>
          <w:tcPr>
            <w:tcW w:w="1247" w:type="dxa"/>
            <w:shd w:val="clear" w:color="auto" w:fill="auto"/>
          </w:tcPr>
          <w:p w14:paraId="5DA5C333" w14:textId="77777777" w:rsidR="00856695" w:rsidRPr="00FC1E5A" w:rsidRDefault="00856695" w:rsidP="00872CC6">
            <w:pPr>
              <w:spacing w:after="120"/>
              <w:rPr>
                <w:rFonts w:cs="Arial"/>
                <w:sz w:val="18"/>
                <w:szCs w:val="18"/>
                <w:lang w:val="en-GB"/>
              </w:rPr>
            </w:pPr>
            <w:r w:rsidRPr="00FC1E5A">
              <w:rPr>
                <w:rFonts w:cs="Arial"/>
                <w:b/>
                <w:bCs/>
                <w:sz w:val="18"/>
                <w:szCs w:val="18"/>
                <w:lang w:val="en-GB"/>
              </w:rPr>
              <w:t>Rating</w:t>
            </w:r>
          </w:p>
        </w:tc>
      </w:tr>
      <w:tr w:rsidR="00856695" w:rsidRPr="00FC1E5A" w14:paraId="0DBC81AD" w14:textId="77777777" w:rsidTr="00282758">
        <w:trPr>
          <w:trHeight w:val="113"/>
        </w:trPr>
        <w:tc>
          <w:tcPr>
            <w:tcW w:w="742" w:type="dxa"/>
          </w:tcPr>
          <w:p w14:paraId="62CDB844" w14:textId="77777777" w:rsidR="00856695" w:rsidRPr="00FC1E5A" w:rsidRDefault="00856695" w:rsidP="00856695">
            <w:pPr>
              <w:spacing w:after="120"/>
              <w:rPr>
                <w:rFonts w:cs="Arial"/>
                <w:sz w:val="18"/>
                <w:szCs w:val="18"/>
                <w:lang w:val="en-GB"/>
              </w:rPr>
            </w:pPr>
            <w:r w:rsidRPr="00FC1E5A">
              <w:rPr>
                <w:rFonts w:cs="Arial"/>
                <w:sz w:val="18"/>
                <w:szCs w:val="18"/>
                <w:lang w:val="en-GB"/>
              </w:rPr>
              <w:t>2.1</w:t>
            </w:r>
          </w:p>
        </w:tc>
        <w:tc>
          <w:tcPr>
            <w:tcW w:w="7030" w:type="dxa"/>
          </w:tcPr>
          <w:p w14:paraId="0922EBB0" w14:textId="77777777" w:rsidR="00856695" w:rsidRPr="00FC1E5A" w:rsidRDefault="00856695" w:rsidP="00856695">
            <w:pPr>
              <w:spacing w:after="120"/>
              <w:rPr>
                <w:rFonts w:cs="Arial"/>
                <w:sz w:val="18"/>
                <w:szCs w:val="18"/>
                <w:lang w:val="en-GB"/>
              </w:rPr>
            </w:pPr>
            <w:r w:rsidRPr="00FC1E5A">
              <w:rPr>
                <w:rFonts w:cs="Arial"/>
                <w:b/>
                <w:bCs/>
                <w:sz w:val="18"/>
                <w:szCs w:val="18"/>
                <w:lang w:val="en-GB"/>
              </w:rPr>
              <w:t>Coal</w:t>
            </w:r>
            <w:r w:rsidRPr="00FC1E5A">
              <w:rPr>
                <w:rFonts w:cs="Arial"/>
                <w:sz w:val="18"/>
                <w:szCs w:val="18"/>
                <w:lang w:val="en-GB"/>
              </w:rPr>
              <w:t xml:space="preserve">: How ambitious is the ECA regarding exclusions or restrictions for support of coal and related value chain? </w:t>
            </w:r>
          </w:p>
        </w:tc>
        <w:tc>
          <w:tcPr>
            <w:tcW w:w="1247" w:type="dxa"/>
            <w:shd w:val="clear" w:color="auto" w:fill="FFC000"/>
          </w:tcPr>
          <w:p w14:paraId="1BB87065" w14:textId="77777777" w:rsidR="00856695" w:rsidRPr="00FC1E5A" w:rsidRDefault="00856695" w:rsidP="00856695">
            <w:pPr>
              <w:spacing w:after="120"/>
              <w:rPr>
                <w:rFonts w:cs="Arial"/>
                <w:b/>
                <w:bCs/>
                <w:sz w:val="18"/>
                <w:szCs w:val="18"/>
                <w:lang w:val="en-GB"/>
              </w:rPr>
            </w:pPr>
            <w:r>
              <w:rPr>
                <w:rFonts w:cs="Arial"/>
                <w:b/>
                <w:bCs/>
                <w:sz w:val="18"/>
                <w:szCs w:val="18"/>
                <w:lang w:val="en-GB"/>
              </w:rPr>
              <w:t>Some progress</w:t>
            </w:r>
          </w:p>
        </w:tc>
      </w:tr>
      <w:tr w:rsidR="00856695" w:rsidRPr="00FC1E5A" w14:paraId="0666AAAB" w14:textId="77777777" w:rsidTr="002923FE">
        <w:trPr>
          <w:trHeight w:val="340"/>
        </w:trPr>
        <w:tc>
          <w:tcPr>
            <w:tcW w:w="742" w:type="dxa"/>
          </w:tcPr>
          <w:p w14:paraId="13C7790E" w14:textId="77777777" w:rsidR="00856695" w:rsidRPr="00FC1E5A" w:rsidRDefault="00856695" w:rsidP="00856695">
            <w:pPr>
              <w:spacing w:after="120"/>
              <w:rPr>
                <w:rFonts w:cs="Arial"/>
                <w:sz w:val="18"/>
                <w:szCs w:val="18"/>
                <w:lang w:val="en-GB"/>
              </w:rPr>
            </w:pPr>
            <w:r w:rsidRPr="00FC1E5A">
              <w:rPr>
                <w:rFonts w:cs="Arial"/>
                <w:sz w:val="18"/>
                <w:szCs w:val="18"/>
                <w:lang w:val="en-GB"/>
              </w:rPr>
              <w:t>2.2</w:t>
            </w:r>
          </w:p>
        </w:tc>
        <w:tc>
          <w:tcPr>
            <w:tcW w:w="7030" w:type="dxa"/>
          </w:tcPr>
          <w:p w14:paraId="667BD232" w14:textId="77777777" w:rsidR="00856695" w:rsidRPr="00FC1E5A" w:rsidRDefault="00856695" w:rsidP="00856695">
            <w:pPr>
              <w:spacing w:after="120"/>
              <w:rPr>
                <w:rFonts w:cs="Arial"/>
                <w:sz w:val="18"/>
                <w:szCs w:val="18"/>
                <w:lang w:val="en-GB"/>
              </w:rPr>
            </w:pPr>
            <w:r w:rsidRPr="00FC1E5A">
              <w:rPr>
                <w:rFonts w:cs="Arial"/>
                <w:b/>
                <w:bCs/>
                <w:sz w:val="18"/>
                <w:szCs w:val="18"/>
                <w:lang w:val="en-GB"/>
              </w:rPr>
              <w:t>Oil</w:t>
            </w:r>
            <w:r w:rsidRPr="00FC1E5A">
              <w:rPr>
                <w:rFonts w:cs="Arial"/>
                <w:sz w:val="18"/>
                <w:szCs w:val="18"/>
                <w:lang w:val="en-GB"/>
              </w:rPr>
              <w:t xml:space="preserve">: How ambitious is the ECA regarding exclusions or restrictions for support of oil and related value chain? </w:t>
            </w:r>
          </w:p>
        </w:tc>
        <w:tc>
          <w:tcPr>
            <w:tcW w:w="1247" w:type="dxa"/>
            <w:shd w:val="clear" w:color="auto" w:fill="FF0000"/>
          </w:tcPr>
          <w:p w14:paraId="373BA646" w14:textId="77777777" w:rsidR="00856695" w:rsidRPr="00FC1E5A" w:rsidRDefault="00804DA8" w:rsidP="00856695">
            <w:pPr>
              <w:spacing w:after="120"/>
              <w:rPr>
                <w:rFonts w:cs="Arial"/>
                <w:b/>
                <w:bCs/>
                <w:sz w:val="18"/>
                <w:szCs w:val="18"/>
                <w:lang w:val="en-GB"/>
              </w:rPr>
            </w:pPr>
            <w:r w:rsidRPr="00FC1E5A">
              <w:rPr>
                <w:rFonts w:cs="Arial"/>
                <w:b/>
                <w:bCs/>
                <w:sz w:val="18"/>
                <w:szCs w:val="18"/>
                <w:lang w:val="en-GB"/>
              </w:rPr>
              <w:t>Unaligned</w:t>
            </w:r>
          </w:p>
        </w:tc>
      </w:tr>
      <w:tr w:rsidR="00856695" w:rsidRPr="00FC1E5A" w14:paraId="46FC9199" w14:textId="77777777" w:rsidTr="00872CC6">
        <w:trPr>
          <w:trHeight w:val="680"/>
        </w:trPr>
        <w:tc>
          <w:tcPr>
            <w:tcW w:w="742" w:type="dxa"/>
          </w:tcPr>
          <w:p w14:paraId="2BAE106E" w14:textId="77777777" w:rsidR="00856695" w:rsidRPr="00FC1E5A" w:rsidRDefault="00856695" w:rsidP="00856695">
            <w:pPr>
              <w:spacing w:after="120"/>
              <w:rPr>
                <w:rFonts w:cs="Arial"/>
                <w:sz w:val="18"/>
                <w:szCs w:val="18"/>
                <w:lang w:val="en-GB"/>
              </w:rPr>
            </w:pPr>
            <w:r w:rsidRPr="00FC1E5A">
              <w:rPr>
                <w:rFonts w:cs="Arial"/>
                <w:sz w:val="18"/>
                <w:szCs w:val="18"/>
                <w:lang w:val="en-GB"/>
              </w:rPr>
              <w:t>2.3</w:t>
            </w:r>
          </w:p>
        </w:tc>
        <w:tc>
          <w:tcPr>
            <w:tcW w:w="7030" w:type="dxa"/>
          </w:tcPr>
          <w:p w14:paraId="4FB9092D" w14:textId="77777777" w:rsidR="00856695" w:rsidRPr="00FC1E5A" w:rsidRDefault="00856695" w:rsidP="00856695">
            <w:pPr>
              <w:spacing w:after="120"/>
              <w:rPr>
                <w:rFonts w:cs="Arial"/>
                <w:sz w:val="18"/>
                <w:szCs w:val="18"/>
                <w:lang w:val="en-GB"/>
              </w:rPr>
            </w:pPr>
            <w:r w:rsidRPr="00FC1E5A">
              <w:rPr>
                <w:rFonts w:cs="Arial"/>
                <w:b/>
                <w:bCs/>
                <w:sz w:val="18"/>
                <w:szCs w:val="18"/>
                <w:lang w:val="en-GB"/>
              </w:rPr>
              <w:t>Natural gas</w:t>
            </w:r>
            <w:r w:rsidRPr="00FC1E5A">
              <w:rPr>
                <w:rFonts w:cs="Arial"/>
                <w:sz w:val="18"/>
                <w:szCs w:val="18"/>
                <w:lang w:val="en-GB"/>
              </w:rPr>
              <w:t xml:space="preserve">: How ambitious is the ECA regarding exclusions or restrictions for support of gas and related value chain? </w:t>
            </w:r>
          </w:p>
        </w:tc>
        <w:tc>
          <w:tcPr>
            <w:tcW w:w="1247" w:type="dxa"/>
            <w:shd w:val="clear" w:color="auto" w:fill="FF0000"/>
          </w:tcPr>
          <w:p w14:paraId="08A1EC8D" w14:textId="77777777" w:rsidR="00856695" w:rsidRPr="00FC1E5A" w:rsidRDefault="00856695" w:rsidP="00856695">
            <w:pPr>
              <w:spacing w:after="120"/>
              <w:rPr>
                <w:rFonts w:cs="Arial"/>
                <w:b/>
                <w:bCs/>
                <w:sz w:val="18"/>
                <w:szCs w:val="18"/>
                <w:lang w:val="en-GB"/>
              </w:rPr>
            </w:pPr>
            <w:r w:rsidRPr="00FC1E5A">
              <w:rPr>
                <w:rFonts w:cs="Arial"/>
                <w:b/>
                <w:bCs/>
                <w:sz w:val="18"/>
                <w:szCs w:val="18"/>
                <w:lang w:val="en-GB"/>
              </w:rPr>
              <w:t>Unaligned</w:t>
            </w:r>
            <w:r w:rsidRPr="00FC1E5A">
              <w:rPr>
                <w:rFonts w:cs="Arial"/>
                <w:b/>
                <w:bCs/>
                <w:sz w:val="18"/>
                <w:szCs w:val="18"/>
                <w:lang w:val="en-GB"/>
              </w:rPr>
              <w:tab/>
            </w:r>
          </w:p>
        </w:tc>
      </w:tr>
    </w:tbl>
    <w:p w14:paraId="626A7325" w14:textId="77777777" w:rsidR="00856695" w:rsidRDefault="00856695" w:rsidP="001274B2">
      <w:pPr>
        <w:rPr>
          <w:rFonts w:cs="Arial"/>
          <w:b/>
          <w:bCs/>
          <w:lang w:val="en-GB"/>
        </w:rPr>
      </w:pPr>
    </w:p>
    <w:p w14:paraId="28D0471B" w14:textId="77777777" w:rsidR="001274B2" w:rsidRPr="00FC1E5A" w:rsidRDefault="001274B2" w:rsidP="001274B2">
      <w:pPr>
        <w:rPr>
          <w:rFonts w:cs="Arial"/>
          <w:b/>
          <w:bCs/>
          <w:lang w:val="en-GB"/>
        </w:rPr>
      </w:pPr>
      <w:r w:rsidRPr="00FC1E5A">
        <w:rPr>
          <w:rFonts w:cs="Arial"/>
          <w:b/>
          <w:bCs/>
          <w:lang w:val="en-GB"/>
        </w:rPr>
        <w:t xml:space="preserve">Q2.1: How ambitious is the ECA regarding exclusions or restrictions for support of coal and related value chain? </w:t>
      </w:r>
    </w:p>
    <w:p w14:paraId="5944A987" w14:textId="77777777" w:rsidR="008E329F" w:rsidRDefault="006D58DE" w:rsidP="005824C9">
      <w:pPr>
        <w:rPr>
          <w:rFonts w:cs="Arial"/>
          <w:lang w:val="en-GB"/>
        </w:rPr>
      </w:pPr>
      <w:r>
        <w:rPr>
          <w:rFonts w:cs="Arial"/>
          <w:lang w:val="en-GB"/>
        </w:rPr>
        <w:t>Q2.1</w:t>
      </w:r>
      <w:r w:rsidR="00906D52">
        <w:rPr>
          <w:rFonts w:cs="Arial"/>
          <w:lang w:val="en-GB"/>
        </w:rPr>
        <w:t xml:space="preserve"> </w:t>
      </w:r>
      <w:r w:rsidR="00232441">
        <w:rPr>
          <w:rFonts w:cs="Arial"/>
          <w:lang w:val="en-GB"/>
        </w:rPr>
        <w:t>was</w:t>
      </w:r>
      <w:r w:rsidR="00F96A69">
        <w:rPr>
          <w:rFonts w:cs="Arial"/>
          <w:lang w:val="en-GB"/>
        </w:rPr>
        <w:t xml:space="preserve"> rated with </w:t>
      </w:r>
      <w:r w:rsidR="00FD5B07">
        <w:rPr>
          <w:rFonts w:cs="Arial"/>
          <w:lang w:val="en-GB"/>
        </w:rPr>
        <w:t>‘</w:t>
      </w:r>
      <w:r w:rsidR="00F96A69">
        <w:rPr>
          <w:rFonts w:cs="Arial"/>
          <w:lang w:val="en-GB"/>
        </w:rPr>
        <w:t>Some progress</w:t>
      </w:r>
      <w:r w:rsidR="00FD5B07">
        <w:rPr>
          <w:rFonts w:cs="Arial"/>
          <w:lang w:val="en-GB"/>
        </w:rPr>
        <w:t>’</w:t>
      </w:r>
      <w:r w:rsidR="00A4759D">
        <w:rPr>
          <w:rFonts w:cs="Arial"/>
          <w:lang w:val="en-GB"/>
        </w:rPr>
        <w:t>, with the potential of becoming ‘Paris</w:t>
      </w:r>
      <w:r w:rsidR="00564815">
        <w:rPr>
          <w:rFonts w:cs="Arial"/>
          <w:lang w:val="en-GB"/>
        </w:rPr>
        <w:t>-</w:t>
      </w:r>
      <w:r w:rsidR="00A4759D">
        <w:rPr>
          <w:rFonts w:cs="Arial"/>
          <w:lang w:val="en-GB"/>
        </w:rPr>
        <w:t>aligned’</w:t>
      </w:r>
      <w:r w:rsidR="00F96A69">
        <w:rPr>
          <w:rFonts w:cs="Arial"/>
          <w:lang w:val="en-GB"/>
        </w:rPr>
        <w:t>. While no formalized exclusion or restriction policy for coal and related value chains exists</w:t>
      </w:r>
      <w:r w:rsidR="0006776B">
        <w:rPr>
          <w:rFonts w:cs="Arial"/>
          <w:lang w:val="en-GB"/>
        </w:rPr>
        <w:t xml:space="preserve"> for Atradius DSB</w:t>
      </w:r>
      <w:r w:rsidR="00F96A69">
        <w:rPr>
          <w:rFonts w:cs="Arial"/>
          <w:lang w:val="en-GB"/>
        </w:rPr>
        <w:t>,</w:t>
      </w:r>
      <w:r w:rsidR="007C743C">
        <w:rPr>
          <w:rFonts w:cs="Arial"/>
          <w:lang w:val="en-GB"/>
        </w:rPr>
        <w:t xml:space="preserve"> the promise of no longer </w:t>
      </w:r>
      <w:r w:rsidR="00D66FAC">
        <w:rPr>
          <w:rFonts w:cs="Arial"/>
          <w:lang w:val="en-GB"/>
        </w:rPr>
        <w:t xml:space="preserve">supporting (thermal) coal </w:t>
      </w:r>
      <w:r w:rsidR="00374DF8">
        <w:rPr>
          <w:rFonts w:cs="Arial"/>
          <w:lang w:val="en-GB"/>
        </w:rPr>
        <w:t>stands since 2014 (</w:t>
      </w:r>
      <w:r w:rsidR="00774EAB">
        <w:rPr>
          <w:rFonts w:cs="Arial"/>
          <w:lang w:val="en-GB"/>
        </w:rPr>
        <w:t xml:space="preserve">see Government of the Netherlands 2014; and </w:t>
      </w:r>
      <w:r w:rsidR="00374DF8">
        <w:rPr>
          <w:rFonts w:cs="Arial"/>
          <w:lang w:val="en-GB"/>
        </w:rPr>
        <w:t xml:space="preserve">E3G and Oil Change International 2021). This </w:t>
      </w:r>
      <w:r w:rsidR="00D66FAC">
        <w:rPr>
          <w:rFonts w:cs="Arial"/>
          <w:lang w:val="en-GB"/>
        </w:rPr>
        <w:t>is reflected in the minuscule share of projects along the coal-related value chain in the total portfolio</w:t>
      </w:r>
      <w:r w:rsidR="00F8704D">
        <w:rPr>
          <w:rFonts w:cs="Arial"/>
          <w:lang w:val="en-GB"/>
        </w:rPr>
        <w:t xml:space="preserve"> which</w:t>
      </w:r>
      <w:r w:rsidR="005341B4">
        <w:rPr>
          <w:rFonts w:cs="Arial"/>
          <w:lang w:val="en-GB"/>
        </w:rPr>
        <w:t xml:space="preserve"> </w:t>
      </w:r>
      <w:r w:rsidR="00F8704D">
        <w:rPr>
          <w:rFonts w:cs="Arial"/>
          <w:lang w:val="en-GB"/>
        </w:rPr>
        <w:t xml:space="preserve">has been reported with </w:t>
      </w:r>
      <w:r w:rsidR="004B3D94">
        <w:rPr>
          <w:rFonts w:cs="Arial"/>
          <w:lang w:val="en-GB"/>
        </w:rPr>
        <w:t xml:space="preserve">one </w:t>
      </w:r>
      <w:r w:rsidR="00FA1E3E">
        <w:rPr>
          <w:rFonts w:cs="Arial"/>
          <w:lang w:val="en-GB"/>
        </w:rPr>
        <w:t xml:space="preserve">outstanding commitment </w:t>
      </w:r>
      <w:r w:rsidR="0080286E">
        <w:rPr>
          <w:rFonts w:cs="Arial"/>
          <w:lang w:val="en-GB"/>
        </w:rPr>
        <w:t>“</w:t>
      </w:r>
      <w:r w:rsidR="004B3D94" w:rsidRPr="0028732D">
        <w:rPr>
          <w:rFonts w:cs="Arial"/>
          <w:i/>
          <w:lang w:val="en-GB"/>
        </w:rPr>
        <w:t>of limited size</w:t>
      </w:r>
      <w:r w:rsidR="0080286E">
        <w:rPr>
          <w:rFonts w:cs="Arial"/>
          <w:lang w:val="en-GB"/>
        </w:rPr>
        <w:t>”</w:t>
      </w:r>
      <w:r w:rsidR="004B3D94">
        <w:rPr>
          <w:rFonts w:cs="Arial"/>
          <w:lang w:val="en-GB"/>
        </w:rPr>
        <w:t xml:space="preserve"> related to the coal value chain</w:t>
      </w:r>
      <w:r w:rsidR="00A54568">
        <w:rPr>
          <w:rFonts w:cs="Arial"/>
          <w:lang w:val="en-GB"/>
        </w:rPr>
        <w:t xml:space="preserve"> (Atradius DSB 2021a</w:t>
      </w:r>
      <w:r w:rsidR="0000549F">
        <w:rPr>
          <w:rFonts w:cs="Arial"/>
          <w:lang w:val="en-GB"/>
        </w:rPr>
        <w:t>, p.31</w:t>
      </w:r>
      <w:r w:rsidR="00A54568">
        <w:rPr>
          <w:rFonts w:cs="Arial"/>
          <w:lang w:val="en-GB"/>
        </w:rPr>
        <w:t>)</w:t>
      </w:r>
      <w:r w:rsidR="004B3D94">
        <w:rPr>
          <w:rFonts w:cs="Arial"/>
          <w:lang w:val="en-GB"/>
        </w:rPr>
        <w:t xml:space="preserve">. </w:t>
      </w:r>
      <w:r w:rsidR="00FA1E3E">
        <w:rPr>
          <w:rFonts w:cs="Arial"/>
          <w:lang w:val="en-GB"/>
        </w:rPr>
        <w:t>Which transaction th</w:t>
      </w:r>
      <w:r w:rsidR="00256947">
        <w:rPr>
          <w:rFonts w:cs="Arial"/>
          <w:lang w:val="en-GB"/>
        </w:rPr>
        <w:t>at</w:t>
      </w:r>
      <w:r w:rsidR="00FA1E3E">
        <w:rPr>
          <w:rFonts w:cs="Arial"/>
          <w:lang w:val="en-GB"/>
        </w:rPr>
        <w:t xml:space="preserve"> involves</w:t>
      </w:r>
      <w:r w:rsidR="006300EB">
        <w:rPr>
          <w:rFonts w:cs="Arial"/>
          <w:lang w:val="en-GB"/>
        </w:rPr>
        <w:t xml:space="preserve"> and</w:t>
      </w:r>
      <w:r w:rsidR="00FA1E3E">
        <w:rPr>
          <w:rFonts w:cs="Arial"/>
          <w:lang w:val="en-GB"/>
        </w:rPr>
        <w:t xml:space="preserve"> what maturity </w:t>
      </w:r>
      <w:r w:rsidR="00256947">
        <w:rPr>
          <w:rFonts w:cs="Arial"/>
          <w:lang w:val="en-GB"/>
        </w:rPr>
        <w:t xml:space="preserve">it has </w:t>
      </w:r>
      <w:r w:rsidR="006300EB">
        <w:rPr>
          <w:rFonts w:cs="Arial"/>
          <w:lang w:val="en-GB"/>
        </w:rPr>
        <w:t>is</w:t>
      </w:r>
      <w:r w:rsidR="00381A1D">
        <w:rPr>
          <w:rFonts w:cs="Arial"/>
          <w:lang w:val="en-GB"/>
        </w:rPr>
        <w:t>,</w:t>
      </w:r>
      <w:r w:rsidR="006300EB">
        <w:rPr>
          <w:rFonts w:cs="Arial"/>
          <w:lang w:val="en-GB"/>
        </w:rPr>
        <w:t xml:space="preserve"> </w:t>
      </w:r>
      <w:r w:rsidR="005341B4">
        <w:rPr>
          <w:rFonts w:cs="Arial"/>
          <w:lang w:val="en-GB"/>
        </w:rPr>
        <w:t>however</w:t>
      </w:r>
      <w:r w:rsidR="00381A1D">
        <w:rPr>
          <w:rFonts w:cs="Arial"/>
          <w:lang w:val="en-GB"/>
        </w:rPr>
        <w:t>,</w:t>
      </w:r>
      <w:r w:rsidR="005341B4">
        <w:rPr>
          <w:rFonts w:cs="Arial"/>
          <w:lang w:val="en-GB"/>
        </w:rPr>
        <w:t xml:space="preserve"> </w:t>
      </w:r>
      <w:r w:rsidR="006300EB">
        <w:rPr>
          <w:rFonts w:cs="Arial"/>
          <w:lang w:val="en-GB"/>
        </w:rPr>
        <w:t xml:space="preserve">unclear from the report. </w:t>
      </w:r>
      <w:r w:rsidR="008E329F">
        <w:rPr>
          <w:rFonts w:cs="Arial"/>
          <w:lang w:val="en-GB"/>
        </w:rPr>
        <w:t xml:space="preserve">It possibly refers to the cover of </w:t>
      </w:r>
      <w:r w:rsidR="00ED7507">
        <w:rPr>
          <w:rFonts w:cs="Arial"/>
          <w:lang w:val="en-GB"/>
        </w:rPr>
        <w:t xml:space="preserve">a </w:t>
      </w:r>
      <w:r w:rsidR="008E329F">
        <w:rPr>
          <w:rFonts w:cs="Arial"/>
          <w:lang w:val="en-GB"/>
        </w:rPr>
        <w:t>Dutch dredging company which has received credit insurance</w:t>
      </w:r>
      <w:r w:rsidR="003A0D12">
        <w:rPr>
          <w:rFonts w:cs="Arial"/>
          <w:lang w:val="en-GB"/>
        </w:rPr>
        <w:t xml:space="preserve"> in 2019</w:t>
      </w:r>
      <w:r w:rsidR="008E329F">
        <w:rPr>
          <w:rFonts w:cs="Arial"/>
          <w:lang w:val="en-GB"/>
        </w:rPr>
        <w:t xml:space="preserve"> for </w:t>
      </w:r>
      <w:r w:rsidR="008E329F" w:rsidRPr="008E329F">
        <w:rPr>
          <w:rFonts w:cs="Arial"/>
          <w:lang w:val="en-GB"/>
        </w:rPr>
        <w:t>deepen</w:t>
      </w:r>
      <w:r w:rsidR="008E329F">
        <w:rPr>
          <w:rFonts w:cs="Arial"/>
          <w:lang w:val="en-GB"/>
        </w:rPr>
        <w:t>ing</w:t>
      </w:r>
      <w:r w:rsidR="008E329F" w:rsidRPr="008E329F">
        <w:rPr>
          <w:rFonts w:cs="Arial"/>
          <w:lang w:val="en-GB"/>
        </w:rPr>
        <w:t xml:space="preserve"> and widen</w:t>
      </w:r>
      <w:r w:rsidR="008E329F">
        <w:rPr>
          <w:rFonts w:cs="Arial"/>
          <w:lang w:val="en-GB"/>
        </w:rPr>
        <w:t xml:space="preserve">ing a Polish canal connecting the major coal terminals in </w:t>
      </w:r>
      <w:proofErr w:type="spellStart"/>
      <w:r w:rsidR="008E329F" w:rsidRPr="008E329F">
        <w:rPr>
          <w:rFonts w:cs="Arial"/>
          <w:lang w:val="en-GB"/>
        </w:rPr>
        <w:t>Swinoujscie</w:t>
      </w:r>
      <w:proofErr w:type="spellEnd"/>
      <w:r w:rsidR="008E329F" w:rsidRPr="008E329F">
        <w:rPr>
          <w:rFonts w:cs="Arial"/>
          <w:lang w:val="en-GB"/>
        </w:rPr>
        <w:t xml:space="preserve"> </w:t>
      </w:r>
      <w:r w:rsidR="008E329F">
        <w:rPr>
          <w:rFonts w:cs="Arial"/>
          <w:lang w:val="en-GB"/>
        </w:rPr>
        <w:t>and</w:t>
      </w:r>
      <w:r w:rsidR="008E329F" w:rsidRPr="008E329F">
        <w:rPr>
          <w:rFonts w:cs="Arial"/>
          <w:lang w:val="en-GB"/>
        </w:rPr>
        <w:t xml:space="preserve"> Szczecin</w:t>
      </w:r>
      <w:r w:rsidR="008E329F">
        <w:rPr>
          <w:rFonts w:cs="Arial"/>
          <w:lang w:val="en-GB"/>
        </w:rPr>
        <w:t xml:space="preserve"> in Poland</w:t>
      </w:r>
      <w:r w:rsidR="00620202">
        <w:rPr>
          <w:rFonts w:cs="Arial"/>
          <w:lang w:val="en-GB"/>
        </w:rPr>
        <w:t xml:space="preserve"> (</w:t>
      </w:r>
      <w:r w:rsidR="00AC49E3">
        <w:rPr>
          <w:rFonts w:cs="Arial"/>
          <w:lang w:val="en-GB"/>
        </w:rPr>
        <w:t>Atradius DSB 2021</w:t>
      </w:r>
      <w:r w:rsidR="00F31EC4">
        <w:rPr>
          <w:rFonts w:cs="Arial"/>
          <w:lang w:val="en-GB"/>
        </w:rPr>
        <w:t>d</w:t>
      </w:r>
      <w:r w:rsidR="00AC49E3">
        <w:rPr>
          <w:rFonts w:cs="Arial"/>
          <w:lang w:val="en-GB"/>
        </w:rPr>
        <w:t>)</w:t>
      </w:r>
      <w:r w:rsidR="008E329F">
        <w:rPr>
          <w:rFonts w:cs="Arial"/>
          <w:lang w:val="en-GB"/>
        </w:rPr>
        <w:t>.</w:t>
      </w:r>
    </w:p>
    <w:p w14:paraId="3A288E43" w14:textId="77777777" w:rsidR="00C3630F" w:rsidRDefault="005341B4" w:rsidP="005824C9">
      <w:pPr>
        <w:rPr>
          <w:rFonts w:cs="Arial"/>
          <w:lang w:val="en-GB"/>
        </w:rPr>
      </w:pPr>
      <w:r>
        <w:rPr>
          <w:rFonts w:cs="Arial"/>
          <w:lang w:val="en-GB"/>
        </w:rPr>
        <w:t>C</w:t>
      </w:r>
      <w:r w:rsidR="00E969DE">
        <w:rPr>
          <w:rFonts w:cs="Arial"/>
          <w:lang w:val="en-GB"/>
        </w:rPr>
        <w:t xml:space="preserve">oal is </w:t>
      </w:r>
      <w:r w:rsidR="001E3366">
        <w:rPr>
          <w:rFonts w:cs="Arial"/>
          <w:lang w:val="en-GB"/>
        </w:rPr>
        <w:t xml:space="preserve">generally </w:t>
      </w:r>
      <w:r w:rsidR="00E969DE">
        <w:rPr>
          <w:rFonts w:cs="Arial"/>
          <w:lang w:val="en-GB"/>
        </w:rPr>
        <w:t xml:space="preserve">distinguished between </w:t>
      </w:r>
      <w:r w:rsidR="00E969DE">
        <w:rPr>
          <w:lang w:eastAsia="en-US"/>
        </w:rPr>
        <w:t>thermal coal and metallurgical coal</w:t>
      </w:r>
      <w:r w:rsidR="0078311C">
        <w:rPr>
          <w:lang w:eastAsia="en-US"/>
        </w:rPr>
        <w:t>.</w:t>
      </w:r>
      <w:r>
        <w:rPr>
          <w:lang w:eastAsia="en-US"/>
        </w:rPr>
        <w:t xml:space="preserve"> </w:t>
      </w:r>
      <w:r w:rsidR="0078311C">
        <w:rPr>
          <w:lang w:eastAsia="en-US"/>
        </w:rPr>
        <w:t>T</w:t>
      </w:r>
      <w:r w:rsidR="0042455B">
        <w:rPr>
          <w:lang w:eastAsia="en-US"/>
        </w:rPr>
        <w:t xml:space="preserve">he </w:t>
      </w:r>
      <w:r>
        <w:rPr>
          <w:lang w:eastAsia="en-US"/>
        </w:rPr>
        <w:t>Government of the Netherlands (</w:t>
      </w:r>
      <w:r w:rsidR="008B6076">
        <w:rPr>
          <w:lang w:eastAsia="en-US"/>
        </w:rPr>
        <w:t xml:space="preserve">2014; </w:t>
      </w:r>
      <w:r>
        <w:rPr>
          <w:lang w:eastAsia="en-US"/>
        </w:rPr>
        <w:t>2021c)</w:t>
      </w:r>
      <w:r w:rsidR="00D94821">
        <w:rPr>
          <w:lang w:eastAsia="en-US"/>
        </w:rPr>
        <w:t xml:space="preserve">, alongside the </w:t>
      </w:r>
      <w:r w:rsidR="00D94821">
        <w:rPr>
          <w:rFonts w:cs="Arial"/>
          <w:lang w:val="en-GB"/>
        </w:rPr>
        <w:t xml:space="preserve">E3F </w:t>
      </w:r>
      <w:r w:rsidR="00D94821" w:rsidRPr="00FC1E5A">
        <w:rPr>
          <w:rFonts w:cs="Arial"/>
          <w:lang w:val="en-GB"/>
        </w:rPr>
        <w:t>coalition</w:t>
      </w:r>
      <w:r w:rsidR="00D94821">
        <w:rPr>
          <w:rFonts w:cs="Arial"/>
          <w:lang w:val="en-GB"/>
        </w:rPr>
        <w:t>,</w:t>
      </w:r>
      <w:r>
        <w:rPr>
          <w:lang w:eastAsia="en-US"/>
        </w:rPr>
        <w:t xml:space="preserve"> </w:t>
      </w:r>
      <w:r w:rsidR="0042455B">
        <w:rPr>
          <w:lang w:eastAsia="en-US"/>
        </w:rPr>
        <w:t xml:space="preserve">promise to </w:t>
      </w:r>
      <w:r w:rsidR="00CE1DEC">
        <w:rPr>
          <w:lang w:eastAsia="en-US"/>
        </w:rPr>
        <w:t>end support for</w:t>
      </w:r>
      <w:r>
        <w:rPr>
          <w:lang w:eastAsia="en-US"/>
        </w:rPr>
        <w:t xml:space="preserve"> thermal coal-related projects </w:t>
      </w:r>
      <w:r w:rsidR="00C816BC">
        <w:rPr>
          <w:lang w:eastAsia="en-US"/>
        </w:rPr>
        <w:t xml:space="preserve">only </w:t>
      </w:r>
      <w:r w:rsidR="0042455B">
        <w:rPr>
          <w:lang w:eastAsia="en-US"/>
        </w:rPr>
        <w:t xml:space="preserve">in </w:t>
      </w:r>
      <w:r w:rsidR="00B74825">
        <w:rPr>
          <w:lang w:eastAsia="en-US"/>
        </w:rPr>
        <w:t>officially supported</w:t>
      </w:r>
      <w:r>
        <w:rPr>
          <w:lang w:eastAsia="en-US"/>
        </w:rPr>
        <w:t xml:space="preserve"> export finance</w:t>
      </w:r>
      <w:r w:rsidR="00777133">
        <w:rPr>
          <w:lang w:eastAsia="en-US"/>
        </w:rPr>
        <w:t xml:space="preserve"> (e.g., such as </w:t>
      </w:r>
      <w:r>
        <w:rPr>
          <w:lang w:eastAsia="en-US"/>
        </w:rPr>
        <w:t>used for electricity generation</w:t>
      </w:r>
      <w:r w:rsidR="00777133">
        <w:rPr>
          <w:lang w:eastAsia="en-US"/>
        </w:rPr>
        <w:t>)</w:t>
      </w:r>
      <w:r w:rsidR="00EC59F4">
        <w:rPr>
          <w:lang w:eastAsia="en-US"/>
        </w:rPr>
        <w:t xml:space="preserve">. </w:t>
      </w:r>
      <w:r w:rsidR="00CA320D">
        <w:rPr>
          <w:lang w:eastAsia="en-US"/>
        </w:rPr>
        <w:t xml:space="preserve">Next to ending support for </w:t>
      </w:r>
      <w:r w:rsidR="00EC59F4">
        <w:rPr>
          <w:rFonts w:cs="Arial"/>
          <w:lang w:val="en-GB"/>
        </w:rPr>
        <w:t>unabated</w:t>
      </w:r>
      <w:r w:rsidR="00EC59F4" w:rsidRPr="00FC1E5A">
        <w:rPr>
          <w:rFonts w:cs="Arial"/>
          <w:lang w:val="en-GB"/>
        </w:rPr>
        <w:t xml:space="preserve"> coal power generation</w:t>
      </w:r>
      <w:r w:rsidR="00CA320D">
        <w:rPr>
          <w:rFonts w:cs="Arial"/>
          <w:lang w:val="en-GB"/>
        </w:rPr>
        <w:t xml:space="preserve">, the E3F </w:t>
      </w:r>
      <w:r w:rsidR="00CA320D" w:rsidRPr="00FC1E5A">
        <w:rPr>
          <w:rFonts w:cs="Arial"/>
          <w:lang w:val="en-GB"/>
        </w:rPr>
        <w:t>coalition</w:t>
      </w:r>
      <w:r w:rsidR="00CA320D">
        <w:rPr>
          <w:rFonts w:cs="Arial"/>
          <w:lang w:val="en-GB"/>
        </w:rPr>
        <w:t xml:space="preserve"> </w:t>
      </w:r>
      <w:r w:rsidR="00911467">
        <w:rPr>
          <w:rFonts w:cs="Arial"/>
          <w:lang w:val="en-GB"/>
        </w:rPr>
        <w:t>also</w:t>
      </w:r>
      <w:r w:rsidR="00CA320D">
        <w:rPr>
          <w:rFonts w:cs="Arial"/>
          <w:lang w:val="en-GB"/>
        </w:rPr>
        <w:t xml:space="preserve"> stated </w:t>
      </w:r>
      <w:r w:rsidR="00CA320D" w:rsidRPr="00FC1E5A">
        <w:rPr>
          <w:rFonts w:cs="Arial"/>
          <w:lang w:val="en-GB"/>
        </w:rPr>
        <w:t xml:space="preserve">the </w:t>
      </w:r>
      <w:r w:rsidR="00CA320D">
        <w:rPr>
          <w:rFonts w:cs="Arial"/>
          <w:lang w:val="en-GB"/>
        </w:rPr>
        <w:t xml:space="preserve">end of officially supported </w:t>
      </w:r>
      <w:r w:rsidR="00CA320D" w:rsidRPr="00FC1E5A">
        <w:rPr>
          <w:rFonts w:cs="Arial"/>
          <w:lang w:val="en-GB"/>
        </w:rPr>
        <w:t>export financ</w:t>
      </w:r>
      <w:r w:rsidR="00CA320D">
        <w:rPr>
          <w:rFonts w:cs="Arial"/>
          <w:lang w:val="en-GB"/>
        </w:rPr>
        <w:t>e</w:t>
      </w:r>
      <w:r w:rsidR="00CA320D" w:rsidRPr="00FC1E5A">
        <w:rPr>
          <w:rFonts w:cs="Arial"/>
          <w:lang w:val="en-GB"/>
        </w:rPr>
        <w:t xml:space="preserve"> for</w:t>
      </w:r>
      <w:r w:rsidR="00EC59F4">
        <w:rPr>
          <w:rFonts w:cs="Arial"/>
          <w:lang w:val="en-GB"/>
        </w:rPr>
        <w:t xml:space="preserve"> coal </w:t>
      </w:r>
      <w:r w:rsidR="00EC59F4" w:rsidRPr="00FC1E5A">
        <w:rPr>
          <w:rFonts w:cs="Arial"/>
          <w:lang w:val="en-GB"/>
        </w:rPr>
        <w:t>mining</w:t>
      </w:r>
      <w:r w:rsidR="00EC59F4">
        <w:rPr>
          <w:rFonts w:cs="Arial"/>
          <w:lang w:val="en-GB"/>
        </w:rPr>
        <w:t>, storage</w:t>
      </w:r>
      <w:r w:rsidR="00EC59F4" w:rsidRPr="00FC1E5A">
        <w:rPr>
          <w:rFonts w:cs="Arial"/>
          <w:lang w:val="en-GB"/>
        </w:rPr>
        <w:t xml:space="preserve"> and transpor</w:t>
      </w:r>
      <w:r w:rsidR="00EC59F4">
        <w:rPr>
          <w:rFonts w:cs="Arial"/>
          <w:lang w:val="en-GB"/>
        </w:rPr>
        <w:t>t</w:t>
      </w:r>
      <w:r w:rsidR="00EC59F4" w:rsidRPr="00FC1E5A">
        <w:rPr>
          <w:rFonts w:cs="Arial"/>
          <w:lang w:val="en-GB"/>
        </w:rPr>
        <w:t xml:space="preserve"> (Ministry of Economy of France 2021).</w:t>
      </w:r>
      <w:r w:rsidR="009B4AA8">
        <w:rPr>
          <w:rFonts w:cs="Arial"/>
          <w:lang w:val="en-GB"/>
        </w:rPr>
        <w:t xml:space="preserve"> </w:t>
      </w:r>
      <w:r w:rsidR="007A6B85">
        <w:rPr>
          <w:rFonts w:cs="Arial"/>
          <w:lang w:val="en-GB"/>
        </w:rPr>
        <w:t xml:space="preserve">This goes significantly beyond the very lenient restrictions imposed by the </w:t>
      </w:r>
      <w:r w:rsidR="007A6B85" w:rsidRPr="00FC1E5A">
        <w:rPr>
          <w:rFonts w:cs="Arial"/>
          <w:lang w:val="en-GB"/>
        </w:rPr>
        <w:t>OECD Coal-Fired Electricity Generation Sector Understanding (CFSU)</w:t>
      </w:r>
      <w:r w:rsidR="009B4AA8">
        <w:rPr>
          <w:rFonts w:cs="Arial"/>
          <w:lang w:val="en-GB"/>
        </w:rPr>
        <w:t xml:space="preserve"> but excludes significant other GHG intensive applications of coal in industrial processes. Moreover, the commitment to phasing out support for all types of fossil fuels lack concretes timelines for members of the E3F</w:t>
      </w:r>
      <w:r w:rsidR="00FD77DD">
        <w:rPr>
          <w:rFonts w:cs="Arial"/>
          <w:lang w:val="en-GB"/>
        </w:rPr>
        <w:t xml:space="preserve"> </w:t>
      </w:r>
      <w:r w:rsidR="00FD77DD" w:rsidRPr="00FC1E5A">
        <w:rPr>
          <w:rFonts w:cs="Arial"/>
          <w:lang w:val="en-GB"/>
        </w:rPr>
        <w:t>(</w:t>
      </w:r>
      <w:r w:rsidR="00FD77DD">
        <w:rPr>
          <w:rFonts w:cs="Arial"/>
          <w:lang w:val="en-GB"/>
        </w:rPr>
        <w:t>ActionAid et al. 2021</w:t>
      </w:r>
      <w:r w:rsidR="00FD77DD" w:rsidRPr="00FC1E5A">
        <w:rPr>
          <w:rFonts w:cs="Arial"/>
          <w:lang w:val="en-GB"/>
        </w:rPr>
        <w:t>).</w:t>
      </w:r>
    </w:p>
    <w:p w14:paraId="40E68199" w14:textId="5A8F5D48" w:rsidR="005420A1" w:rsidRDefault="009B4AA8" w:rsidP="005824C9">
      <w:pPr>
        <w:rPr>
          <w:lang w:eastAsia="en-US"/>
        </w:rPr>
      </w:pPr>
      <w:r>
        <w:rPr>
          <w:rFonts w:cs="Arial"/>
          <w:lang w:val="en-GB"/>
        </w:rPr>
        <w:t>W</w:t>
      </w:r>
      <w:r w:rsidR="009A3F9E">
        <w:rPr>
          <w:rFonts w:cs="Arial"/>
          <w:lang w:val="en-GB"/>
        </w:rPr>
        <w:t>e</w:t>
      </w:r>
      <w:r w:rsidR="0057732E">
        <w:rPr>
          <w:rFonts w:cs="Arial"/>
          <w:lang w:val="en-GB"/>
        </w:rPr>
        <w:t xml:space="preserve"> </w:t>
      </w:r>
      <w:r w:rsidR="00777133">
        <w:rPr>
          <w:lang w:eastAsia="en-US"/>
        </w:rPr>
        <w:t>emphasize the partial nature of th</w:t>
      </w:r>
      <w:r w:rsidR="0071281C">
        <w:rPr>
          <w:lang w:eastAsia="en-US"/>
        </w:rPr>
        <w:t>ese</w:t>
      </w:r>
      <w:r w:rsidR="00777133">
        <w:rPr>
          <w:lang w:eastAsia="en-US"/>
        </w:rPr>
        <w:t xml:space="preserve"> commitment</w:t>
      </w:r>
      <w:r w:rsidR="0071281C">
        <w:rPr>
          <w:lang w:eastAsia="en-US"/>
        </w:rPr>
        <w:t>s</w:t>
      </w:r>
      <w:r w:rsidR="007A6B85">
        <w:rPr>
          <w:lang w:eastAsia="en-US"/>
        </w:rPr>
        <w:t xml:space="preserve"> and</w:t>
      </w:r>
      <w:r w:rsidR="00777133">
        <w:rPr>
          <w:lang w:eastAsia="en-US"/>
        </w:rPr>
        <w:t xml:space="preserve"> </w:t>
      </w:r>
      <w:r w:rsidR="0071281C">
        <w:rPr>
          <w:lang w:eastAsia="en-US"/>
        </w:rPr>
        <w:t xml:space="preserve">recommend a comprehensive </w:t>
      </w:r>
      <w:r w:rsidR="00D75A0C">
        <w:rPr>
          <w:lang w:eastAsia="en-US"/>
        </w:rPr>
        <w:t>and formalized phase out policy for coal (</w:t>
      </w:r>
      <w:r w:rsidR="00CC5361">
        <w:rPr>
          <w:lang w:eastAsia="en-US"/>
        </w:rPr>
        <w:t>including metallurgical coa</w:t>
      </w:r>
      <w:r w:rsidR="002648BC">
        <w:rPr>
          <w:lang w:eastAsia="en-US"/>
        </w:rPr>
        <w:t>l</w:t>
      </w:r>
      <w:r w:rsidR="00CC5361">
        <w:rPr>
          <w:lang w:eastAsia="en-US"/>
        </w:rPr>
        <w:t xml:space="preserve"> </w:t>
      </w:r>
      <w:r w:rsidR="00BD019F">
        <w:rPr>
          <w:lang w:eastAsia="en-US"/>
        </w:rPr>
        <w:t>as well as all stages of the value chain</w:t>
      </w:r>
      <w:r w:rsidR="00D75A0C">
        <w:rPr>
          <w:lang w:eastAsia="en-US"/>
        </w:rPr>
        <w:t>)</w:t>
      </w:r>
      <w:r w:rsidR="008B4194">
        <w:rPr>
          <w:lang w:eastAsia="en-US"/>
        </w:rPr>
        <w:t xml:space="preserve">, building on the example of </w:t>
      </w:r>
      <w:r w:rsidR="008B4194">
        <w:rPr>
          <w:rFonts w:cs="Arial"/>
          <w:lang w:val="en-GB"/>
        </w:rPr>
        <w:t>the United Kingdom´s Prime Minister´s Office (2020).</w:t>
      </w:r>
      <w:r w:rsidR="005A0DE1">
        <w:rPr>
          <w:rFonts w:cs="Arial"/>
          <w:lang w:val="en-GB"/>
        </w:rPr>
        <w:t xml:space="preserve"> Once such policy is formalized the Dutch ECA will be rated “Paris aligned” on this assessment question.</w:t>
      </w:r>
    </w:p>
    <w:p w14:paraId="66069B94" w14:textId="77777777" w:rsidR="001274B2" w:rsidRPr="00FC1E5A" w:rsidRDefault="001274B2" w:rsidP="001274B2">
      <w:pPr>
        <w:rPr>
          <w:rFonts w:cs="Arial"/>
          <w:b/>
          <w:bCs/>
          <w:lang w:val="en-GB"/>
        </w:rPr>
      </w:pPr>
      <w:r w:rsidRPr="00FC1E5A">
        <w:rPr>
          <w:rFonts w:cs="Arial"/>
          <w:b/>
          <w:bCs/>
          <w:lang w:val="en-GB"/>
        </w:rPr>
        <w:t xml:space="preserve">Q2.2: How ambitious is the ECA regarding exclusions or restrictions for support of oil and related value chain? </w:t>
      </w:r>
    </w:p>
    <w:p w14:paraId="268B642B" w14:textId="77777777" w:rsidR="00502228" w:rsidRDefault="006D58DE" w:rsidP="001274B2">
      <w:pPr>
        <w:rPr>
          <w:rFonts w:cs="Arial"/>
          <w:lang w:val="en-GB"/>
        </w:rPr>
      </w:pPr>
      <w:r>
        <w:rPr>
          <w:rFonts w:cs="Arial"/>
          <w:lang w:val="en-GB"/>
        </w:rPr>
        <w:t>Q2.2</w:t>
      </w:r>
      <w:r w:rsidR="00243FBF">
        <w:rPr>
          <w:rFonts w:cs="Arial"/>
          <w:lang w:val="en-GB"/>
        </w:rPr>
        <w:t xml:space="preserve"> </w:t>
      </w:r>
      <w:r w:rsidR="002715AE">
        <w:rPr>
          <w:rFonts w:cs="Arial"/>
          <w:lang w:val="en-GB"/>
        </w:rPr>
        <w:t>was</w:t>
      </w:r>
      <w:r w:rsidR="00243FBF">
        <w:rPr>
          <w:rFonts w:cs="Arial"/>
          <w:lang w:val="en-GB"/>
        </w:rPr>
        <w:t xml:space="preserve"> rated </w:t>
      </w:r>
      <w:r w:rsidR="00114BEF">
        <w:rPr>
          <w:rFonts w:cs="Arial"/>
          <w:lang w:val="en-GB"/>
        </w:rPr>
        <w:t>‘</w:t>
      </w:r>
      <w:r w:rsidR="00732699">
        <w:rPr>
          <w:rFonts w:cs="Arial"/>
          <w:lang w:val="en-GB"/>
        </w:rPr>
        <w:t>Unaligned</w:t>
      </w:r>
      <w:r w:rsidR="00114BEF">
        <w:rPr>
          <w:rFonts w:cs="Arial"/>
          <w:lang w:val="en-GB"/>
        </w:rPr>
        <w:t>’</w:t>
      </w:r>
      <w:r w:rsidR="006A0610">
        <w:rPr>
          <w:rFonts w:cs="Arial"/>
          <w:lang w:val="en-GB"/>
        </w:rPr>
        <w:t>.</w:t>
      </w:r>
      <w:r w:rsidR="00342303">
        <w:rPr>
          <w:rFonts w:cs="Arial"/>
          <w:lang w:val="en-GB"/>
        </w:rPr>
        <w:t xml:space="preserve"> This is mainly due to the fact that, t</w:t>
      </w:r>
      <w:r w:rsidR="006A0610">
        <w:rPr>
          <w:rFonts w:cs="Arial"/>
          <w:lang w:val="en-GB"/>
        </w:rPr>
        <w:t>o date, t</w:t>
      </w:r>
      <w:r w:rsidR="004C51CD">
        <w:rPr>
          <w:rFonts w:cs="Arial"/>
          <w:lang w:val="en-GB"/>
        </w:rPr>
        <w:t>he Dutch government has</w:t>
      </w:r>
      <w:r w:rsidR="00501FB6">
        <w:rPr>
          <w:rFonts w:cs="Arial"/>
          <w:lang w:val="en-GB"/>
        </w:rPr>
        <w:t xml:space="preserve"> </w:t>
      </w:r>
      <w:r w:rsidR="00EA0D11">
        <w:rPr>
          <w:rFonts w:cs="Arial"/>
          <w:lang w:val="en-GB"/>
        </w:rPr>
        <w:t xml:space="preserve">not </w:t>
      </w:r>
      <w:r w:rsidR="00501FB6">
        <w:rPr>
          <w:rFonts w:cs="Arial"/>
          <w:lang w:val="en-GB"/>
        </w:rPr>
        <w:t>issued</w:t>
      </w:r>
      <w:r w:rsidR="004C51CD">
        <w:rPr>
          <w:rFonts w:cs="Arial"/>
          <w:lang w:val="en-GB"/>
        </w:rPr>
        <w:t xml:space="preserve"> </w:t>
      </w:r>
      <w:r w:rsidR="00EA0D11">
        <w:rPr>
          <w:rFonts w:cs="Arial"/>
          <w:lang w:val="en-GB"/>
        </w:rPr>
        <w:t xml:space="preserve">a </w:t>
      </w:r>
      <w:r w:rsidR="004C51CD">
        <w:rPr>
          <w:rFonts w:cs="Arial"/>
          <w:lang w:val="en-GB"/>
        </w:rPr>
        <w:t>formalized exclusion or restriction</w:t>
      </w:r>
      <w:r w:rsidR="00501FB6">
        <w:rPr>
          <w:rFonts w:cs="Arial"/>
          <w:lang w:val="en-GB"/>
        </w:rPr>
        <w:t xml:space="preserve"> policy</w:t>
      </w:r>
      <w:r w:rsidR="004C51CD">
        <w:rPr>
          <w:rFonts w:cs="Arial"/>
          <w:lang w:val="en-GB"/>
        </w:rPr>
        <w:t xml:space="preserve"> </w:t>
      </w:r>
      <w:r w:rsidR="00D41ADA">
        <w:rPr>
          <w:rFonts w:cs="Arial"/>
          <w:lang w:val="en-GB"/>
        </w:rPr>
        <w:t>to end</w:t>
      </w:r>
      <w:r w:rsidR="004C51CD">
        <w:rPr>
          <w:rFonts w:cs="Arial"/>
          <w:lang w:val="en-GB"/>
        </w:rPr>
        <w:t xml:space="preserve"> support </w:t>
      </w:r>
      <w:r w:rsidR="00D41ADA">
        <w:rPr>
          <w:rFonts w:cs="Arial"/>
          <w:lang w:val="en-GB"/>
        </w:rPr>
        <w:t xml:space="preserve">for </w:t>
      </w:r>
      <w:r w:rsidR="004C51CD">
        <w:rPr>
          <w:rFonts w:cs="Arial"/>
          <w:lang w:val="en-GB"/>
        </w:rPr>
        <w:t>oil</w:t>
      </w:r>
      <w:r w:rsidR="005A73D4">
        <w:rPr>
          <w:rFonts w:cs="Arial"/>
          <w:lang w:val="en-GB"/>
        </w:rPr>
        <w:t>-</w:t>
      </w:r>
      <w:r w:rsidR="004C51CD">
        <w:rPr>
          <w:rFonts w:cs="Arial"/>
          <w:lang w:val="en-GB"/>
        </w:rPr>
        <w:t>related value chains</w:t>
      </w:r>
      <w:r w:rsidR="00D41ADA">
        <w:rPr>
          <w:rFonts w:cs="Arial"/>
          <w:lang w:val="en-GB"/>
        </w:rPr>
        <w:t xml:space="preserve"> </w:t>
      </w:r>
      <w:r w:rsidR="00EA0D11">
        <w:rPr>
          <w:rFonts w:cs="Arial"/>
          <w:lang w:val="en-GB"/>
        </w:rPr>
        <w:t xml:space="preserve">for </w:t>
      </w:r>
      <w:r w:rsidR="00D41ADA">
        <w:rPr>
          <w:rFonts w:cs="Arial"/>
          <w:lang w:val="en-GB"/>
        </w:rPr>
        <w:t>Atradius DSB</w:t>
      </w:r>
      <w:r w:rsidR="00777F71">
        <w:rPr>
          <w:rFonts w:cs="Arial"/>
          <w:lang w:val="en-GB"/>
        </w:rPr>
        <w:t xml:space="preserve"> to implement</w:t>
      </w:r>
      <w:r w:rsidR="00FA3B88">
        <w:rPr>
          <w:rFonts w:cs="Arial"/>
          <w:lang w:val="en-GB"/>
        </w:rPr>
        <w:t xml:space="preserve">. </w:t>
      </w:r>
      <w:r w:rsidR="000C1CC8">
        <w:rPr>
          <w:rFonts w:cs="Arial"/>
          <w:lang w:val="en-GB"/>
        </w:rPr>
        <w:t>Moreover</w:t>
      </w:r>
      <w:r w:rsidR="00AE6126">
        <w:rPr>
          <w:rFonts w:cs="Arial"/>
          <w:lang w:val="en-GB"/>
        </w:rPr>
        <w:t xml:space="preserve">, Dutch exporters </w:t>
      </w:r>
      <w:r w:rsidR="005A73D4">
        <w:rPr>
          <w:rFonts w:cs="Arial"/>
          <w:lang w:val="en-GB"/>
        </w:rPr>
        <w:t xml:space="preserve">are </w:t>
      </w:r>
      <w:r w:rsidR="00420A0E">
        <w:rPr>
          <w:rFonts w:cs="Arial"/>
          <w:lang w:val="en-GB"/>
        </w:rPr>
        <w:t>still</w:t>
      </w:r>
      <w:r w:rsidR="005A73D4">
        <w:rPr>
          <w:rFonts w:cs="Arial"/>
          <w:lang w:val="en-GB"/>
        </w:rPr>
        <w:t xml:space="preserve"> strongly engaged in </w:t>
      </w:r>
      <w:r w:rsidR="00420A0E">
        <w:rPr>
          <w:rFonts w:cs="Arial"/>
          <w:lang w:val="en-GB"/>
        </w:rPr>
        <w:t>th</w:t>
      </w:r>
      <w:r w:rsidR="004F4205">
        <w:rPr>
          <w:rFonts w:cs="Arial"/>
          <w:lang w:val="en-GB"/>
        </w:rPr>
        <w:t>e</w:t>
      </w:r>
      <w:r w:rsidR="00420A0E">
        <w:rPr>
          <w:rFonts w:cs="Arial"/>
          <w:lang w:val="en-GB"/>
        </w:rPr>
        <w:t xml:space="preserve"> sector, e.g., through the export of </w:t>
      </w:r>
      <w:r w:rsidR="001E47B9">
        <w:rPr>
          <w:rFonts w:cs="Arial"/>
          <w:lang w:val="en-GB"/>
        </w:rPr>
        <w:t xml:space="preserve">equipment used for </w:t>
      </w:r>
      <w:r w:rsidR="00420A0E">
        <w:rPr>
          <w:rFonts w:cs="Arial"/>
          <w:lang w:val="en-GB"/>
        </w:rPr>
        <w:t>transport</w:t>
      </w:r>
      <w:r w:rsidR="00FD39A9">
        <w:rPr>
          <w:rFonts w:cs="Arial"/>
          <w:lang w:val="en-GB"/>
        </w:rPr>
        <w:t xml:space="preserve"> of oil</w:t>
      </w:r>
      <w:r w:rsidR="005E3931">
        <w:rPr>
          <w:rFonts w:cs="Arial"/>
          <w:lang w:val="en-GB"/>
        </w:rPr>
        <w:t>, which may explain (but not justify) reluctance to such exclusions</w:t>
      </w:r>
      <w:r w:rsidR="00420A0E">
        <w:rPr>
          <w:rFonts w:cs="Arial"/>
          <w:lang w:val="en-GB"/>
        </w:rPr>
        <w:t>.</w:t>
      </w:r>
      <w:r w:rsidR="001E47B9">
        <w:rPr>
          <w:rFonts w:cs="Arial"/>
          <w:lang w:val="en-GB"/>
        </w:rPr>
        <w:t xml:space="preserve"> </w:t>
      </w:r>
      <w:r w:rsidR="00FE155E">
        <w:rPr>
          <w:rFonts w:cs="Arial"/>
          <w:lang w:val="en-GB"/>
        </w:rPr>
        <w:t>Of the total maximum liability amount of fossil fuel-related transactions insured by the end of 2020, oil</w:t>
      </w:r>
      <w:r w:rsidR="004466E8">
        <w:rPr>
          <w:rFonts w:cs="Arial"/>
          <w:lang w:val="en-GB"/>
        </w:rPr>
        <w:t xml:space="preserve"> value chains</w:t>
      </w:r>
      <w:r w:rsidR="00FE155E">
        <w:rPr>
          <w:rFonts w:cs="Arial"/>
          <w:lang w:val="en-GB"/>
        </w:rPr>
        <w:t xml:space="preserve"> represent</w:t>
      </w:r>
      <w:r w:rsidR="00FA0025">
        <w:rPr>
          <w:rFonts w:cs="Arial"/>
          <w:lang w:val="en-GB"/>
        </w:rPr>
        <w:t>ed</w:t>
      </w:r>
      <w:r w:rsidR="004466E8">
        <w:rPr>
          <w:rFonts w:cs="Arial"/>
          <w:lang w:val="en-GB"/>
        </w:rPr>
        <w:t xml:space="preserve"> about 47% </w:t>
      </w:r>
      <w:r w:rsidR="00025E0A">
        <w:rPr>
          <w:rFonts w:cs="Arial"/>
          <w:lang w:val="en-GB"/>
        </w:rPr>
        <w:t xml:space="preserve">according to the official estimate </w:t>
      </w:r>
      <w:r w:rsidR="004466E8">
        <w:rPr>
          <w:rFonts w:cs="Arial"/>
          <w:lang w:val="en-GB"/>
        </w:rPr>
        <w:t>(</w:t>
      </w:r>
      <w:r w:rsidR="004466E8" w:rsidRPr="004466E8">
        <w:rPr>
          <w:rFonts w:cs="Arial"/>
          <w:lang w:val="en-GB"/>
        </w:rPr>
        <w:t>Government of the Netherlands 2021b)</w:t>
      </w:r>
      <w:r w:rsidR="004466E8">
        <w:rPr>
          <w:rFonts w:cs="Arial"/>
          <w:lang w:val="en-GB"/>
        </w:rPr>
        <w:t xml:space="preserve">. </w:t>
      </w:r>
      <w:r w:rsidR="00D76358">
        <w:rPr>
          <w:rFonts w:cs="Arial"/>
          <w:lang w:val="en-GB"/>
        </w:rPr>
        <w:t>We positively note that</w:t>
      </w:r>
      <w:r w:rsidR="00DF4295">
        <w:rPr>
          <w:rFonts w:cs="Arial"/>
          <w:lang w:val="en-GB"/>
        </w:rPr>
        <w:t xml:space="preserve"> </w:t>
      </w:r>
      <w:r w:rsidR="00D56F6B">
        <w:rPr>
          <w:rFonts w:cs="Arial"/>
          <w:lang w:val="en-GB"/>
        </w:rPr>
        <w:t>the House of Representatives was promised</w:t>
      </w:r>
      <w:r w:rsidR="001C1CAC">
        <w:rPr>
          <w:rFonts w:cs="Arial"/>
          <w:lang w:val="en-GB"/>
        </w:rPr>
        <w:t xml:space="preserve"> by State Secretary</w:t>
      </w:r>
      <w:r w:rsidR="00BF232C">
        <w:rPr>
          <w:rFonts w:cs="Arial"/>
          <w:lang w:val="en-GB"/>
        </w:rPr>
        <w:t xml:space="preserve"> of Finance J. A. </w:t>
      </w:r>
      <w:proofErr w:type="spellStart"/>
      <w:r w:rsidR="00BF232C">
        <w:rPr>
          <w:rFonts w:cs="Arial"/>
          <w:lang w:val="en-GB"/>
        </w:rPr>
        <w:t>Vijlbrief</w:t>
      </w:r>
      <w:proofErr w:type="spellEnd"/>
      <w:r w:rsidR="001C1CAC">
        <w:rPr>
          <w:rFonts w:cs="Arial"/>
          <w:lang w:val="en-GB"/>
        </w:rPr>
        <w:t xml:space="preserve"> </w:t>
      </w:r>
      <w:r w:rsidR="00D56F6B">
        <w:rPr>
          <w:rFonts w:cs="Arial"/>
          <w:lang w:val="en-GB"/>
        </w:rPr>
        <w:t xml:space="preserve">that no further ECA support would be directed toward projects involving unconventional </w:t>
      </w:r>
      <w:r w:rsidR="00A77E92">
        <w:rPr>
          <w:rFonts w:cs="Arial"/>
          <w:lang w:val="en-GB"/>
        </w:rPr>
        <w:t xml:space="preserve">extraction </w:t>
      </w:r>
      <w:r w:rsidR="00D56F6B">
        <w:rPr>
          <w:rFonts w:cs="Arial"/>
          <w:lang w:val="en-GB"/>
        </w:rPr>
        <w:t>methods</w:t>
      </w:r>
      <w:r w:rsidR="00A77E92">
        <w:rPr>
          <w:rFonts w:cs="Arial"/>
          <w:lang w:val="en-GB"/>
        </w:rPr>
        <w:t xml:space="preserve"> such as fracking (</w:t>
      </w:r>
      <w:r w:rsidR="00A77E92" w:rsidRPr="004466E8">
        <w:rPr>
          <w:rFonts w:cs="Arial"/>
          <w:lang w:val="en-GB"/>
        </w:rPr>
        <w:t>Government of the Netherlands 2021</w:t>
      </w:r>
      <w:r w:rsidR="006A7EA4">
        <w:rPr>
          <w:rFonts w:cs="Arial"/>
          <w:lang w:val="en-GB"/>
        </w:rPr>
        <w:t>c</w:t>
      </w:r>
      <w:r w:rsidR="00A77E92" w:rsidRPr="004466E8">
        <w:rPr>
          <w:rFonts w:cs="Arial"/>
          <w:lang w:val="en-GB"/>
        </w:rPr>
        <w:t>)</w:t>
      </w:r>
      <w:r w:rsidR="00A77E92">
        <w:rPr>
          <w:rFonts w:cs="Arial"/>
          <w:lang w:val="en-GB"/>
        </w:rPr>
        <w:t xml:space="preserve">. </w:t>
      </w:r>
      <w:r w:rsidR="008572FE">
        <w:rPr>
          <w:rFonts w:cs="Arial"/>
          <w:lang w:val="en-GB"/>
        </w:rPr>
        <w:t xml:space="preserve">At the same time, the </w:t>
      </w:r>
      <w:r w:rsidR="008572FE" w:rsidRPr="004466E8">
        <w:rPr>
          <w:rFonts w:cs="Arial"/>
          <w:lang w:val="en-GB"/>
        </w:rPr>
        <w:t xml:space="preserve">Government of the Netherlands </w:t>
      </w:r>
      <w:r w:rsidR="008572FE">
        <w:rPr>
          <w:rFonts w:cs="Arial"/>
          <w:lang w:val="en-GB"/>
        </w:rPr>
        <w:t>(</w:t>
      </w:r>
      <w:r w:rsidR="008572FE" w:rsidRPr="004466E8">
        <w:rPr>
          <w:rFonts w:cs="Arial"/>
          <w:lang w:val="en-GB"/>
        </w:rPr>
        <w:t>2021</w:t>
      </w:r>
      <w:r w:rsidR="008572FE">
        <w:rPr>
          <w:rFonts w:cs="Arial"/>
          <w:lang w:val="en-GB"/>
        </w:rPr>
        <w:t>c</w:t>
      </w:r>
      <w:r w:rsidR="008572FE" w:rsidRPr="004466E8">
        <w:rPr>
          <w:rFonts w:cs="Arial"/>
          <w:lang w:val="en-GB"/>
        </w:rPr>
        <w:t>)</w:t>
      </w:r>
      <w:r w:rsidR="008572FE">
        <w:rPr>
          <w:rFonts w:cs="Arial"/>
          <w:lang w:val="en-GB"/>
        </w:rPr>
        <w:t xml:space="preserve"> acknowledges that in the downstream </w:t>
      </w:r>
      <w:r w:rsidR="008572FE">
        <w:rPr>
          <w:rFonts w:cs="Arial"/>
          <w:lang w:val="en-GB"/>
        </w:rPr>
        <w:lastRenderedPageBreak/>
        <w:t>value chain it is no longer possible to distinguish between conventional and unconventional extraction methods</w:t>
      </w:r>
      <w:r w:rsidR="00F73431">
        <w:rPr>
          <w:rFonts w:cs="Arial"/>
          <w:lang w:val="en-GB"/>
        </w:rPr>
        <w:t>. This is</w:t>
      </w:r>
      <w:r w:rsidR="008572FE">
        <w:rPr>
          <w:rFonts w:cs="Arial"/>
          <w:lang w:val="en-GB"/>
        </w:rPr>
        <w:t xml:space="preserve"> however not reflected in current commitments. </w:t>
      </w:r>
      <w:r w:rsidR="004E25DA">
        <w:rPr>
          <w:rFonts w:cs="Arial"/>
          <w:lang w:val="en-GB"/>
        </w:rPr>
        <w:t>Lastly</w:t>
      </w:r>
      <w:r w:rsidR="00065953">
        <w:rPr>
          <w:rFonts w:cs="Arial"/>
          <w:lang w:val="en-GB"/>
        </w:rPr>
        <w:t>, oil projects involving routinely flaring of gas have</w:t>
      </w:r>
      <w:r w:rsidR="00492C58">
        <w:rPr>
          <w:rFonts w:cs="Arial"/>
          <w:lang w:val="en-GB"/>
        </w:rPr>
        <w:t xml:space="preserve"> under Atradius DSB´s current CSR policy</w:t>
      </w:r>
      <w:r w:rsidR="00065953">
        <w:rPr>
          <w:rFonts w:cs="Arial"/>
          <w:lang w:val="en-GB"/>
        </w:rPr>
        <w:t xml:space="preserve"> not been underwritten</w:t>
      </w:r>
      <w:r w:rsidR="00492C58">
        <w:rPr>
          <w:rFonts w:cs="Arial"/>
          <w:lang w:val="en-GB"/>
        </w:rPr>
        <w:t xml:space="preserve"> anymore</w:t>
      </w:r>
      <w:r w:rsidR="00065953">
        <w:rPr>
          <w:rFonts w:cs="Arial"/>
          <w:lang w:val="en-GB"/>
        </w:rPr>
        <w:t xml:space="preserve"> (</w:t>
      </w:r>
      <w:r w:rsidR="00065953">
        <w:rPr>
          <w:rFonts w:cs="Arial"/>
          <w:i/>
          <w:lang w:val="en-GB"/>
        </w:rPr>
        <w:t>ibid</w:t>
      </w:r>
      <w:r w:rsidR="00065953">
        <w:rPr>
          <w:rFonts w:cs="Arial"/>
          <w:lang w:val="en-GB"/>
        </w:rPr>
        <w:t>.).</w:t>
      </w:r>
      <w:r w:rsidR="00AD6043">
        <w:rPr>
          <w:rFonts w:cs="Arial"/>
          <w:lang w:val="en-GB"/>
        </w:rPr>
        <w:t xml:space="preserve"> This practice however also lacks formalization.</w:t>
      </w:r>
      <w:r w:rsidR="00065953">
        <w:rPr>
          <w:rFonts w:cs="Arial"/>
          <w:lang w:val="en-GB"/>
        </w:rPr>
        <w:t xml:space="preserve"> </w:t>
      </w:r>
      <w:r w:rsidR="00BB6046">
        <w:rPr>
          <w:rFonts w:cs="Arial"/>
          <w:lang w:val="en-GB"/>
        </w:rPr>
        <w:t xml:space="preserve">Taken together, </w:t>
      </w:r>
      <w:r w:rsidR="00AD6043">
        <w:rPr>
          <w:rFonts w:cs="Arial"/>
          <w:lang w:val="en-GB"/>
        </w:rPr>
        <w:t xml:space="preserve">we note that the Dutch government is increasingly aware of the risks and uncertainties involved by </w:t>
      </w:r>
      <w:r w:rsidR="00BB6046">
        <w:rPr>
          <w:rFonts w:cs="Arial"/>
          <w:lang w:val="en-GB"/>
        </w:rPr>
        <w:t>support</w:t>
      </w:r>
      <w:r w:rsidR="00AD6043">
        <w:rPr>
          <w:rFonts w:cs="Arial"/>
          <w:lang w:val="en-GB"/>
        </w:rPr>
        <w:t>ing</w:t>
      </w:r>
      <w:r w:rsidR="00BB6046">
        <w:rPr>
          <w:rFonts w:cs="Arial"/>
          <w:lang w:val="en-GB"/>
        </w:rPr>
        <w:t xml:space="preserve"> oil-related value chains.</w:t>
      </w:r>
      <w:r w:rsidR="00841BA9">
        <w:rPr>
          <w:rFonts w:cs="Arial"/>
          <w:lang w:val="en-GB"/>
        </w:rPr>
        <w:t xml:space="preserve"> At the same time, concrete proposals and formalized commitments to transform this significant industry branch over the short term are absent. </w:t>
      </w:r>
      <w:r w:rsidR="00502228">
        <w:rPr>
          <w:rFonts w:cs="Arial"/>
          <w:lang w:val="en-GB"/>
        </w:rPr>
        <w:t>This is why we rate this indicator with ‘Unaligned’ noting that the Government of the Netherlands indicated options which could achieve a higher scoring in the future.</w:t>
      </w:r>
    </w:p>
    <w:p w14:paraId="4C8E9292" w14:textId="77777777" w:rsidR="00D56F6B" w:rsidRDefault="0001308E" w:rsidP="001274B2">
      <w:pPr>
        <w:rPr>
          <w:rFonts w:cs="Arial"/>
          <w:lang w:val="en-GB"/>
        </w:rPr>
      </w:pPr>
      <w:r>
        <w:rPr>
          <w:rFonts w:cs="Arial"/>
          <w:lang w:val="en-GB"/>
        </w:rPr>
        <w:t xml:space="preserve">We strongly recommend to </w:t>
      </w:r>
      <w:r w:rsidR="00502228">
        <w:rPr>
          <w:rFonts w:cs="Arial"/>
          <w:lang w:val="en-GB"/>
        </w:rPr>
        <w:t xml:space="preserve">deploy the fossil fuel measurement methodology to identify oil-related value chains </w:t>
      </w:r>
      <w:r w:rsidR="007474C6">
        <w:rPr>
          <w:rFonts w:cs="Arial"/>
          <w:lang w:val="en-GB"/>
        </w:rPr>
        <w:t xml:space="preserve">and thereupon base decisions to exclude oil-related project applications with immediacy. Further deepening and </w:t>
      </w:r>
      <w:r>
        <w:rPr>
          <w:rFonts w:cs="Arial"/>
          <w:lang w:val="en-GB"/>
        </w:rPr>
        <w:t>formaliz</w:t>
      </w:r>
      <w:r w:rsidR="007474C6">
        <w:rPr>
          <w:rFonts w:cs="Arial"/>
          <w:lang w:val="en-GB"/>
        </w:rPr>
        <w:t>ing</w:t>
      </w:r>
      <w:r>
        <w:rPr>
          <w:rFonts w:cs="Arial"/>
          <w:lang w:val="en-GB"/>
        </w:rPr>
        <w:t xml:space="preserve"> </w:t>
      </w:r>
      <w:r w:rsidR="00797EBD">
        <w:rPr>
          <w:rFonts w:cs="Arial"/>
          <w:lang w:val="en-GB"/>
        </w:rPr>
        <w:t>their</w:t>
      </w:r>
      <w:r w:rsidR="00C32937">
        <w:rPr>
          <w:rFonts w:cs="Arial"/>
          <w:lang w:val="en-GB"/>
        </w:rPr>
        <w:t xml:space="preserve"> </w:t>
      </w:r>
      <w:r>
        <w:rPr>
          <w:rFonts w:cs="Arial"/>
          <w:lang w:val="en-GB"/>
        </w:rPr>
        <w:t>commitments</w:t>
      </w:r>
      <w:r w:rsidR="002E41D4">
        <w:rPr>
          <w:rFonts w:cs="Arial"/>
          <w:lang w:val="en-GB"/>
        </w:rPr>
        <w:t xml:space="preserve"> </w:t>
      </w:r>
      <w:r w:rsidR="00BB27AF">
        <w:rPr>
          <w:rFonts w:cs="Arial"/>
          <w:lang w:val="en-GB"/>
        </w:rPr>
        <w:t xml:space="preserve">can help the Netherlands to make their </w:t>
      </w:r>
      <w:r w:rsidR="00366E38">
        <w:rPr>
          <w:rFonts w:cs="Arial"/>
          <w:lang w:val="en-GB"/>
        </w:rPr>
        <w:t xml:space="preserve">contribution to achieving the Paris climate goals and </w:t>
      </w:r>
      <w:r w:rsidR="00665CC1">
        <w:rPr>
          <w:rFonts w:cs="Arial"/>
          <w:lang w:val="en-GB"/>
        </w:rPr>
        <w:t xml:space="preserve">also </w:t>
      </w:r>
      <w:r w:rsidR="00366E38">
        <w:rPr>
          <w:rFonts w:cs="Arial"/>
          <w:lang w:val="en-GB"/>
        </w:rPr>
        <w:t xml:space="preserve">establish clarity for Dutch exporters. </w:t>
      </w:r>
      <w:r w:rsidR="005B52AA">
        <w:rPr>
          <w:rFonts w:cs="Arial"/>
          <w:lang w:val="en-GB"/>
        </w:rPr>
        <w:t xml:space="preserve">The government could, for instance, build on </w:t>
      </w:r>
      <w:r w:rsidR="006D0B38">
        <w:rPr>
          <w:rFonts w:cs="Arial"/>
          <w:lang w:val="en-GB"/>
        </w:rPr>
        <w:t xml:space="preserve">the announcement </w:t>
      </w:r>
      <w:r w:rsidR="0037610D">
        <w:rPr>
          <w:rFonts w:cs="Arial"/>
          <w:lang w:val="en-GB"/>
        </w:rPr>
        <w:t>by the</w:t>
      </w:r>
      <w:r w:rsidR="002A66B7">
        <w:rPr>
          <w:rFonts w:cs="Arial"/>
          <w:lang w:val="en-GB"/>
        </w:rPr>
        <w:t xml:space="preserve"> United Kingdom´s</w:t>
      </w:r>
      <w:r w:rsidR="00260342">
        <w:rPr>
          <w:rFonts w:cs="Arial"/>
          <w:lang w:val="en-GB"/>
        </w:rPr>
        <w:t xml:space="preserve"> Prime Minister´s Office (2020)</w:t>
      </w:r>
      <w:r>
        <w:rPr>
          <w:rFonts w:cs="Arial"/>
          <w:lang w:val="en-GB"/>
        </w:rPr>
        <w:t xml:space="preserve">. </w:t>
      </w:r>
    </w:p>
    <w:p w14:paraId="1499D9C9" w14:textId="77777777" w:rsidR="001274B2" w:rsidRPr="00FC1E5A" w:rsidRDefault="001274B2" w:rsidP="001274B2">
      <w:pPr>
        <w:rPr>
          <w:rFonts w:cs="Arial"/>
          <w:b/>
          <w:bCs/>
          <w:lang w:val="en-GB"/>
        </w:rPr>
      </w:pPr>
      <w:r w:rsidRPr="00FC1E5A">
        <w:rPr>
          <w:rFonts w:cs="Arial"/>
          <w:b/>
          <w:bCs/>
          <w:lang w:val="en-GB"/>
        </w:rPr>
        <w:t xml:space="preserve">Q2.3: How ambitious is the ECA regarding exclusions or restrictions for support of gas and related value chain? </w:t>
      </w:r>
    </w:p>
    <w:p w14:paraId="6D44B953" w14:textId="77777777" w:rsidR="00D90DDD" w:rsidRDefault="006D58DE" w:rsidP="001274B2">
      <w:pPr>
        <w:rPr>
          <w:lang w:eastAsia="en-US"/>
        </w:rPr>
      </w:pPr>
      <w:r>
        <w:rPr>
          <w:rFonts w:cs="Arial"/>
          <w:lang w:val="en-GB"/>
        </w:rPr>
        <w:t xml:space="preserve">Q2.3 </w:t>
      </w:r>
      <w:r w:rsidR="00D403CD">
        <w:rPr>
          <w:rFonts w:cs="Arial"/>
          <w:lang w:val="en-GB"/>
        </w:rPr>
        <w:t xml:space="preserve">was </w:t>
      </w:r>
      <w:r w:rsidR="00192546">
        <w:rPr>
          <w:rFonts w:cs="Arial"/>
          <w:lang w:val="en-GB"/>
        </w:rPr>
        <w:t xml:space="preserve">similarly rated with </w:t>
      </w:r>
      <w:r w:rsidR="00D21532">
        <w:rPr>
          <w:rFonts w:cs="Arial"/>
          <w:lang w:val="en-GB"/>
        </w:rPr>
        <w:t>‘U</w:t>
      </w:r>
      <w:r w:rsidR="00192546">
        <w:rPr>
          <w:rFonts w:cs="Arial"/>
          <w:lang w:val="en-GB"/>
        </w:rPr>
        <w:t>naligned</w:t>
      </w:r>
      <w:r w:rsidR="00D21532">
        <w:rPr>
          <w:rFonts w:cs="Arial"/>
          <w:lang w:val="en-GB"/>
        </w:rPr>
        <w:t>’</w:t>
      </w:r>
      <w:r w:rsidR="00192546">
        <w:rPr>
          <w:rFonts w:cs="Arial"/>
          <w:lang w:val="en-GB"/>
        </w:rPr>
        <w:t xml:space="preserve">. </w:t>
      </w:r>
      <w:r w:rsidR="00FB510A">
        <w:rPr>
          <w:rFonts w:cs="Arial"/>
          <w:lang w:val="en-GB"/>
        </w:rPr>
        <w:t>As for the case of oil, t</w:t>
      </w:r>
      <w:r w:rsidR="00192546">
        <w:rPr>
          <w:rFonts w:cs="Arial"/>
          <w:lang w:val="en-GB"/>
        </w:rPr>
        <w:t xml:space="preserve">he Dutch government has </w:t>
      </w:r>
      <w:r w:rsidR="00BB31D1">
        <w:rPr>
          <w:rFonts w:cs="Arial"/>
          <w:lang w:val="en-GB"/>
        </w:rPr>
        <w:t xml:space="preserve">not </w:t>
      </w:r>
      <w:r w:rsidR="00192546">
        <w:rPr>
          <w:rFonts w:cs="Arial"/>
          <w:lang w:val="en-GB"/>
        </w:rPr>
        <w:t xml:space="preserve">issued </w:t>
      </w:r>
      <w:r w:rsidR="00BB31D1">
        <w:rPr>
          <w:rFonts w:cs="Arial"/>
          <w:lang w:val="en-GB"/>
        </w:rPr>
        <w:t>any</w:t>
      </w:r>
      <w:r w:rsidR="00192546">
        <w:rPr>
          <w:rFonts w:cs="Arial"/>
          <w:lang w:val="en-GB"/>
        </w:rPr>
        <w:t xml:space="preserve"> formalized exclusion or restriction policy to end support for </w:t>
      </w:r>
      <w:r w:rsidR="00992BEF">
        <w:rPr>
          <w:rFonts w:cs="Arial"/>
          <w:lang w:val="en-GB"/>
        </w:rPr>
        <w:t>gas</w:t>
      </w:r>
      <w:r w:rsidR="00192546">
        <w:rPr>
          <w:rFonts w:cs="Arial"/>
          <w:lang w:val="en-GB"/>
        </w:rPr>
        <w:t>-related value chains through Atradius DSB.</w:t>
      </w:r>
      <w:r w:rsidR="00EB71D3">
        <w:rPr>
          <w:rFonts w:cs="Arial"/>
          <w:lang w:val="en-GB"/>
        </w:rPr>
        <w:t xml:space="preserve"> The gas sector also continues to be an important market segment for </w:t>
      </w:r>
      <w:r w:rsidR="00192546">
        <w:rPr>
          <w:rFonts w:cs="Arial"/>
          <w:lang w:val="en-GB"/>
        </w:rPr>
        <w:t>Dutch exporters</w:t>
      </w:r>
      <w:r w:rsidR="00EB71D3">
        <w:rPr>
          <w:rFonts w:cs="Arial"/>
          <w:lang w:val="en-GB"/>
        </w:rPr>
        <w:t>,</w:t>
      </w:r>
      <w:r w:rsidR="00192546">
        <w:rPr>
          <w:rFonts w:cs="Arial"/>
          <w:lang w:val="en-GB"/>
        </w:rPr>
        <w:t xml:space="preserve"> e.g., </w:t>
      </w:r>
      <w:r w:rsidR="00EB71D3">
        <w:rPr>
          <w:rFonts w:cs="Arial"/>
          <w:lang w:val="en-GB"/>
        </w:rPr>
        <w:t xml:space="preserve">for the </w:t>
      </w:r>
      <w:r w:rsidR="00192546">
        <w:rPr>
          <w:rFonts w:cs="Arial"/>
          <w:lang w:val="en-GB"/>
        </w:rPr>
        <w:t xml:space="preserve">export of </w:t>
      </w:r>
      <w:r w:rsidR="00EB71D3">
        <w:rPr>
          <w:rFonts w:cs="Arial"/>
          <w:lang w:val="en-GB"/>
        </w:rPr>
        <w:t>pipelines or dredging services</w:t>
      </w:r>
      <w:r w:rsidR="00192546">
        <w:rPr>
          <w:rFonts w:cs="Arial"/>
          <w:lang w:val="en-GB"/>
        </w:rPr>
        <w:t xml:space="preserve">. Of the total maximum liability amount of fossil fuel-related transactions insured by the end of 2020, </w:t>
      </w:r>
      <w:r w:rsidR="0050055C">
        <w:rPr>
          <w:rFonts w:cs="Arial"/>
          <w:lang w:val="en-GB"/>
        </w:rPr>
        <w:t>gas</w:t>
      </w:r>
      <w:r w:rsidR="00192546">
        <w:rPr>
          <w:rFonts w:cs="Arial"/>
          <w:lang w:val="en-GB"/>
        </w:rPr>
        <w:t xml:space="preserve"> value chains represent about </w:t>
      </w:r>
      <w:r w:rsidR="0050055C">
        <w:rPr>
          <w:rFonts w:cs="Arial"/>
          <w:lang w:val="en-GB"/>
        </w:rPr>
        <w:t>51</w:t>
      </w:r>
      <w:r w:rsidR="00192546">
        <w:rPr>
          <w:rFonts w:cs="Arial"/>
          <w:lang w:val="en-GB"/>
        </w:rPr>
        <w:t>% (</w:t>
      </w:r>
      <w:r w:rsidR="00192546" w:rsidRPr="004466E8">
        <w:rPr>
          <w:rFonts w:cs="Arial"/>
          <w:lang w:val="en-GB"/>
        </w:rPr>
        <w:t>Government of the Netherlands 2021b)</w:t>
      </w:r>
      <w:r w:rsidR="00192546">
        <w:rPr>
          <w:rFonts w:cs="Arial"/>
          <w:lang w:val="en-GB"/>
        </w:rPr>
        <w:t xml:space="preserve">. </w:t>
      </w:r>
      <w:r w:rsidR="00EA6315">
        <w:rPr>
          <w:rFonts w:cs="Arial"/>
          <w:lang w:val="en-GB"/>
        </w:rPr>
        <w:t xml:space="preserve">The </w:t>
      </w:r>
      <w:r w:rsidR="00370D4C">
        <w:rPr>
          <w:rFonts w:cs="Arial"/>
          <w:lang w:val="en-GB"/>
        </w:rPr>
        <w:t xml:space="preserve">underwriting of a contract between the </w:t>
      </w:r>
      <w:r w:rsidR="00E136A1">
        <w:rPr>
          <w:rFonts w:cs="Arial"/>
          <w:lang w:val="en-GB"/>
        </w:rPr>
        <w:t xml:space="preserve">Dutch dredging company Van Oord </w:t>
      </w:r>
      <w:r w:rsidR="00370D4C">
        <w:rPr>
          <w:rFonts w:cs="Arial"/>
          <w:lang w:val="en-GB"/>
        </w:rPr>
        <w:t xml:space="preserve">and energy giant Total </w:t>
      </w:r>
      <w:r w:rsidR="00887BD5">
        <w:rPr>
          <w:rFonts w:cs="Arial"/>
          <w:lang w:val="en-GB"/>
        </w:rPr>
        <w:t xml:space="preserve">involving the </w:t>
      </w:r>
      <w:r w:rsidR="00887BD5" w:rsidRPr="00887BD5">
        <w:rPr>
          <w:rFonts w:cs="Arial"/>
          <w:lang w:val="en-GB"/>
        </w:rPr>
        <w:t>construction of an offshore infrastructure to transport natural gas from the seabed to an onshore plant</w:t>
      </w:r>
      <w:r w:rsidR="00370D4C">
        <w:rPr>
          <w:rFonts w:cs="Arial"/>
          <w:lang w:val="en-GB"/>
        </w:rPr>
        <w:t xml:space="preserve"> </w:t>
      </w:r>
      <w:r w:rsidR="00887BD5">
        <w:rPr>
          <w:rFonts w:cs="Arial"/>
          <w:lang w:val="en-GB"/>
        </w:rPr>
        <w:t xml:space="preserve">in conflict-afflicted Mozambique </w:t>
      </w:r>
      <w:r w:rsidR="00BB31D1">
        <w:rPr>
          <w:rFonts w:cs="Arial"/>
          <w:lang w:val="en-GB"/>
        </w:rPr>
        <w:t>(Atradius DSB 2021</w:t>
      </w:r>
      <w:r w:rsidR="00CD3FD0">
        <w:rPr>
          <w:rFonts w:cs="Arial"/>
          <w:lang w:val="en-GB"/>
        </w:rPr>
        <w:t>d</w:t>
      </w:r>
      <w:r w:rsidR="00BB31D1">
        <w:rPr>
          <w:rFonts w:cs="Arial"/>
          <w:lang w:val="en-GB"/>
        </w:rPr>
        <w:t xml:space="preserve">) </w:t>
      </w:r>
      <w:r w:rsidR="00727F8F">
        <w:rPr>
          <w:rFonts w:cs="Arial"/>
          <w:lang w:val="en-GB"/>
        </w:rPr>
        <w:t>provides a</w:t>
      </w:r>
      <w:r w:rsidR="00CE35F2">
        <w:rPr>
          <w:rFonts w:cs="Arial"/>
          <w:lang w:val="en-GB"/>
        </w:rPr>
        <w:t>n</w:t>
      </w:r>
      <w:r w:rsidR="00727F8F">
        <w:rPr>
          <w:rFonts w:cs="Arial"/>
          <w:lang w:val="en-GB"/>
        </w:rPr>
        <w:t xml:space="preserve"> </w:t>
      </w:r>
      <w:r w:rsidR="00CE35F2">
        <w:rPr>
          <w:rFonts w:cs="Arial"/>
          <w:lang w:val="en-GB"/>
        </w:rPr>
        <w:t>e</w:t>
      </w:r>
      <w:r w:rsidR="00727F8F">
        <w:rPr>
          <w:rFonts w:cs="Arial"/>
          <w:lang w:val="en-GB"/>
        </w:rPr>
        <w:t xml:space="preserve">pitomizing </w:t>
      </w:r>
      <w:r w:rsidR="00CE35F2">
        <w:rPr>
          <w:rFonts w:cs="Arial"/>
          <w:lang w:val="en-GB"/>
        </w:rPr>
        <w:t xml:space="preserve">example of the continued involvement of officially supported export finance in </w:t>
      </w:r>
      <w:r w:rsidR="004507B9">
        <w:rPr>
          <w:rFonts w:cs="Arial"/>
          <w:lang w:val="en-GB"/>
        </w:rPr>
        <w:t xml:space="preserve">controversial </w:t>
      </w:r>
      <w:r w:rsidR="00615F69">
        <w:rPr>
          <w:rFonts w:cs="Arial"/>
          <w:lang w:val="en-GB"/>
        </w:rPr>
        <w:t>large-scale and risky</w:t>
      </w:r>
      <w:r w:rsidR="003C4B08">
        <w:rPr>
          <w:rFonts w:cs="Arial"/>
          <w:lang w:val="en-GB"/>
        </w:rPr>
        <w:t xml:space="preserve"> </w:t>
      </w:r>
      <w:r w:rsidR="003304BC">
        <w:rPr>
          <w:rFonts w:cs="Arial"/>
          <w:lang w:val="en-GB"/>
        </w:rPr>
        <w:t xml:space="preserve">fossil fuel </w:t>
      </w:r>
      <w:r w:rsidR="00615F69">
        <w:rPr>
          <w:rFonts w:cs="Arial"/>
          <w:lang w:val="en-GB"/>
        </w:rPr>
        <w:t>projects abroad.</w:t>
      </w:r>
      <w:r w:rsidR="000561DF">
        <w:rPr>
          <w:rFonts w:cs="Arial"/>
          <w:lang w:val="en-GB"/>
        </w:rPr>
        <w:t xml:space="preserve"> </w:t>
      </w:r>
      <w:r w:rsidR="001B3DAA">
        <w:rPr>
          <w:rFonts w:cs="Arial"/>
          <w:lang w:val="en-GB"/>
        </w:rPr>
        <w:t>The Dutch State assume</w:t>
      </w:r>
      <w:r w:rsidR="00BB6C8B">
        <w:rPr>
          <w:rFonts w:cs="Arial"/>
          <w:lang w:val="en-GB"/>
        </w:rPr>
        <w:t>d</w:t>
      </w:r>
      <w:r w:rsidR="001B3DAA">
        <w:rPr>
          <w:rFonts w:cs="Arial"/>
          <w:lang w:val="en-GB"/>
        </w:rPr>
        <w:t xml:space="preserve"> liability of </w:t>
      </w:r>
      <w:r w:rsidR="00164BAC">
        <w:rPr>
          <w:rFonts w:cs="Arial"/>
          <w:lang w:val="en-GB"/>
        </w:rPr>
        <w:t xml:space="preserve">more than </w:t>
      </w:r>
      <w:r w:rsidR="00202188">
        <w:rPr>
          <w:rFonts w:cs="Arial"/>
          <w:lang w:val="en-GB"/>
        </w:rPr>
        <w:t xml:space="preserve">EUR 900 million </w:t>
      </w:r>
      <w:r w:rsidR="001B3DAA">
        <w:rPr>
          <w:rFonts w:cs="Arial"/>
          <w:lang w:val="en-GB"/>
        </w:rPr>
        <w:t xml:space="preserve">at a time </w:t>
      </w:r>
      <w:r w:rsidR="005E3931">
        <w:rPr>
          <w:rFonts w:cs="Arial"/>
          <w:lang w:val="en-GB"/>
        </w:rPr>
        <w:t xml:space="preserve">when </w:t>
      </w:r>
      <w:r w:rsidR="001B3DAA">
        <w:rPr>
          <w:rFonts w:cs="Arial"/>
          <w:lang w:val="en-GB"/>
        </w:rPr>
        <w:t>the violence in the region escalated (Both ENDS 2021</w:t>
      </w:r>
      <w:r w:rsidR="00746AC9">
        <w:rPr>
          <w:rFonts w:cs="Arial"/>
          <w:lang w:val="en-GB"/>
        </w:rPr>
        <w:t>b</w:t>
      </w:r>
      <w:r w:rsidR="001B3DAA">
        <w:rPr>
          <w:rFonts w:cs="Arial"/>
          <w:lang w:val="en-GB"/>
        </w:rPr>
        <w:t>)</w:t>
      </w:r>
      <w:r w:rsidR="00164BAC">
        <w:rPr>
          <w:rFonts w:cs="Arial"/>
          <w:lang w:val="en-GB"/>
        </w:rPr>
        <w:t>.</w:t>
      </w:r>
      <w:r w:rsidR="00C10D2A">
        <w:rPr>
          <w:rFonts w:cs="Arial"/>
          <w:lang w:val="en-GB"/>
        </w:rPr>
        <w:t xml:space="preserve"> </w:t>
      </w:r>
      <w:r w:rsidR="00B51062">
        <w:rPr>
          <w:rFonts w:cs="Arial"/>
          <w:lang w:val="en-GB"/>
        </w:rPr>
        <w:t xml:space="preserve">According to Atradius DSB (2021a), natural gas is a fossil fuel </w:t>
      </w:r>
      <w:r w:rsidR="001E4B4A">
        <w:rPr>
          <w:rFonts w:cs="Arial"/>
          <w:lang w:val="en-GB"/>
        </w:rPr>
        <w:t xml:space="preserve">with </w:t>
      </w:r>
      <w:r w:rsidR="00D21532">
        <w:rPr>
          <w:rFonts w:cs="Arial"/>
          <w:lang w:val="en-GB"/>
        </w:rPr>
        <w:t>‘</w:t>
      </w:r>
      <w:r w:rsidR="001E4B4A">
        <w:rPr>
          <w:lang w:eastAsia="en-US"/>
        </w:rPr>
        <w:t>moderate potential</w:t>
      </w:r>
      <w:r w:rsidR="00D21532">
        <w:rPr>
          <w:lang w:eastAsia="en-US"/>
        </w:rPr>
        <w:t>’</w:t>
      </w:r>
      <w:r w:rsidR="001E4B4A">
        <w:rPr>
          <w:lang w:eastAsia="en-US"/>
        </w:rPr>
        <w:t xml:space="preserve"> to contribute to climate change. </w:t>
      </w:r>
      <w:r w:rsidR="00DF322B">
        <w:rPr>
          <w:lang w:eastAsia="en-US"/>
        </w:rPr>
        <w:t xml:space="preserve">Against the findings of the latest IEA (2021) report on Net Zero pathways, this view </w:t>
      </w:r>
      <w:r w:rsidR="00760E3F">
        <w:rPr>
          <w:lang w:eastAsia="en-US"/>
        </w:rPr>
        <w:t>is</w:t>
      </w:r>
      <w:r w:rsidR="00DF322B">
        <w:rPr>
          <w:lang w:eastAsia="en-US"/>
        </w:rPr>
        <w:t xml:space="preserve"> no longer tenable – at least for support to the upstream development of new and currently unapproved </w:t>
      </w:r>
      <w:r w:rsidR="001D17F8">
        <w:rPr>
          <w:lang w:eastAsia="en-US"/>
        </w:rPr>
        <w:t xml:space="preserve">supply </w:t>
      </w:r>
      <w:r w:rsidR="00DF322B">
        <w:rPr>
          <w:lang w:eastAsia="en-US"/>
        </w:rPr>
        <w:t>fields.</w:t>
      </w:r>
      <w:r w:rsidR="002A5717">
        <w:rPr>
          <w:lang w:eastAsia="en-US"/>
        </w:rPr>
        <w:t xml:space="preserve"> Moreover, emissions from natural gas have long been underestimated</w:t>
      </w:r>
      <w:r w:rsidR="00D932FA">
        <w:rPr>
          <w:lang w:eastAsia="en-US"/>
        </w:rPr>
        <w:t xml:space="preserve"> due to insufficient considerations of</w:t>
      </w:r>
      <w:r w:rsidR="00D151D5">
        <w:rPr>
          <w:lang w:eastAsia="en-US"/>
        </w:rPr>
        <w:t xml:space="preserve"> methane</w:t>
      </w:r>
      <w:r w:rsidR="00D932FA">
        <w:rPr>
          <w:lang w:eastAsia="en-US"/>
        </w:rPr>
        <w:t xml:space="preserve"> leakages</w:t>
      </w:r>
      <w:r w:rsidR="002A5717">
        <w:rPr>
          <w:lang w:eastAsia="en-US"/>
        </w:rPr>
        <w:t xml:space="preserve"> (e.g., see NDRC 2020; Alvarez et al. 2018)</w:t>
      </w:r>
      <w:r w:rsidR="00D932FA">
        <w:rPr>
          <w:lang w:eastAsia="en-US"/>
        </w:rPr>
        <w:t>.</w:t>
      </w:r>
      <w:r w:rsidR="00DF322B">
        <w:rPr>
          <w:lang w:eastAsia="en-US"/>
        </w:rPr>
        <w:t xml:space="preserve"> </w:t>
      </w:r>
      <w:r w:rsidR="0053690B">
        <w:rPr>
          <w:lang w:eastAsia="en-US"/>
        </w:rPr>
        <w:t xml:space="preserve">Lastly, </w:t>
      </w:r>
      <w:r w:rsidR="00940BEC">
        <w:rPr>
          <w:lang w:eastAsia="en-US"/>
        </w:rPr>
        <w:t xml:space="preserve">ECAs are </w:t>
      </w:r>
      <w:r w:rsidR="000E7846">
        <w:rPr>
          <w:lang w:eastAsia="en-US"/>
        </w:rPr>
        <w:t xml:space="preserve">public finance institutions </w:t>
      </w:r>
      <w:r w:rsidR="005B7877">
        <w:rPr>
          <w:lang w:eastAsia="en-US"/>
        </w:rPr>
        <w:t xml:space="preserve">and therefore </w:t>
      </w:r>
      <w:r w:rsidR="000E7846">
        <w:rPr>
          <w:lang w:eastAsia="en-US"/>
        </w:rPr>
        <w:t xml:space="preserve">need to do justice to their </w:t>
      </w:r>
      <w:r w:rsidR="00CD2DA3">
        <w:rPr>
          <w:lang w:eastAsia="en-US"/>
        </w:rPr>
        <w:t xml:space="preserve">special responsibilities and lead the way </w:t>
      </w:r>
      <w:r w:rsidR="007C7EFD">
        <w:rPr>
          <w:lang w:eastAsia="en-US"/>
        </w:rPr>
        <w:t xml:space="preserve">much </w:t>
      </w:r>
      <w:r w:rsidR="00CD2DA3">
        <w:rPr>
          <w:lang w:eastAsia="en-US"/>
        </w:rPr>
        <w:t>faster than any other finance actor</w:t>
      </w:r>
      <w:r w:rsidR="00A80824">
        <w:rPr>
          <w:lang w:eastAsia="en-US"/>
        </w:rPr>
        <w:t xml:space="preserve"> to meet Net Zero targets by mid-century and increase chances </w:t>
      </w:r>
      <w:r w:rsidR="00C11FFA">
        <w:rPr>
          <w:lang w:eastAsia="en-US"/>
        </w:rPr>
        <w:t xml:space="preserve">of </w:t>
      </w:r>
      <w:r w:rsidR="00A80824">
        <w:rPr>
          <w:lang w:eastAsia="en-US"/>
        </w:rPr>
        <w:t>meeting the Paris climate goals.</w:t>
      </w:r>
      <w:r w:rsidR="00D13A62">
        <w:rPr>
          <w:lang w:eastAsia="en-US"/>
        </w:rPr>
        <w:t xml:space="preserve"> </w:t>
      </w:r>
    </w:p>
    <w:p w14:paraId="0086A608" w14:textId="77777777" w:rsidR="00AD1D85" w:rsidRDefault="00D13A62" w:rsidP="001274B2">
      <w:pPr>
        <w:rPr>
          <w:rFonts w:cs="Arial"/>
          <w:lang w:val="en-GB"/>
        </w:rPr>
      </w:pPr>
      <w:bookmarkStart w:id="16" w:name="_Hlk83136791"/>
      <w:r>
        <w:rPr>
          <w:lang w:eastAsia="en-US"/>
        </w:rPr>
        <w:t xml:space="preserve">We </w:t>
      </w:r>
      <w:r w:rsidR="005E3931">
        <w:rPr>
          <w:lang w:eastAsia="en-US"/>
        </w:rPr>
        <w:t xml:space="preserve">therefore </w:t>
      </w:r>
      <w:r>
        <w:rPr>
          <w:lang w:eastAsia="en-US"/>
        </w:rPr>
        <w:t xml:space="preserve">recommend </w:t>
      </w:r>
      <w:bookmarkStart w:id="17" w:name="_Hlk83138895"/>
      <w:r w:rsidR="0097769C">
        <w:rPr>
          <w:lang w:eastAsia="en-US"/>
        </w:rPr>
        <w:t>acknowledging</w:t>
      </w:r>
      <w:r>
        <w:rPr>
          <w:lang w:eastAsia="en-US"/>
        </w:rPr>
        <w:t xml:space="preserve"> the</w:t>
      </w:r>
      <w:r w:rsidR="005E3931">
        <w:rPr>
          <w:lang w:eastAsia="en-US"/>
        </w:rPr>
        <w:t xml:space="preserve"> carbon</w:t>
      </w:r>
      <w:r>
        <w:rPr>
          <w:lang w:eastAsia="en-US"/>
        </w:rPr>
        <w:t xml:space="preserve"> lock-in potential of </w:t>
      </w:r>
      <w:r w:rsidR="00547A56">
        <w:rPr>
          <w:lang w:eastAsia="en-US"/>
        </w:rPr>
        <w:t xml:space="preserve">natural gas </w:t>
      </w:r>
      <w:bookmarkEnd w:id="17"/>
      <w:r w:rsidR="00547A56">
        <w:rPr>
          <w:lang w:eastAsia="en-US"/>
        </w:rPr>
        <w:t xml:space="preserve">and elevate the ambition to phase out </w:t>
      </w:r>
      <w:r w:rsidR="005E3931">
        <w:rPr>
          <w:lang w:eastAsia="en-US"/>
        </w:rPr>
        <w:t xml:space="preserve">support to </w:t>
      </w:r>
      <w:r w:rsidR="00547A56">
        <w:rPr>
          <w:lang w:eastAsia="en-US"/>
        </w:rPr>
        <w:t xml:space="preserve">this fossil fuel </w:t>
      </w:r>
      <w:r w:rsidR="00042FD9">
        <w:rPr>
          <w:lang w:eastAsia="en-US"/>
        </w:rPr>
        <w:t xml:space="preserve">with the same </w:t>
      </w:r>
      <w:r w:rsidR="0060531C">
        <w:rPr>
          <w:lang w:eastAsia="en-US"/>
        </w:rPr>
        <w:t>immediacy</w:t>
      </w:r>
      <w:r w:rsidR="00042FD9">
        <w:rPr>
          <w:lang w:eastAsia="en-US"/>
        </w:rPr>
        <w:t xml:space="preserve"> and scope</w:t>
      </w:r>
      <w:r w:rsidR="00547A56">
        <w:rPr>
          <w:lang w:eastAsia="en-US"/>
        </w:rPr>
        <w:t xml:space="preserve"> </w:t>
      </w:r>
      <w:r w:rsidR="00C11FFA">
        <w:rPr>
          <w:lang w:eastAsia="en-US"/>
        </w:rPr>
        <w:t xml:space="preserve">as </w:t>
      </w:r>
      <w:r w:rsidR="00055B5C">
        <w:rPr>
          <w:lang w:eastAsia="en-US"/>
        </w:rPr>
        <w:t xml:space="preserve">for </w:t>
      </w:r>
      <w:r w:rsidR="00547A56">
        <w:rPr>
          <w:lang w:eastAsia="en-US"/>
        </w:rPr>
        <w:t>coal and oil.</w:t>
      </w:r>
    </w:p>
    <w:p w14:paraId="489C4491" w14:textId="77777777" w:rsidR="001274B2" w:rsidRPr="00FC1E5A" w:rsidRDefault="00C940CB" w:rsidP="001274B2">
      <w:pPr>
        <w:pStyle w:val="berschrift2"/>
        <w:rPr>
          <w:rFonts w:ascii="Arial" w:hAnsi="Arial"/>
        </w:rPr>
      </w:pPr>
      <w:bookmarkStart w:id="18" w:name="_Toc84520030"/>
      <w:bookmarkEnd w:id="16"/>
      <w:r>
        <w:rPr>
          <w:rFonts w:ascii="Arial" w:hAnsi="Arial"/>
        </w:rPr>
        <w:lastRenderedPageBreak/>
        <w:t xml:space="preserve">Dimension </w:t>
      </w:r>
      <w:r w:rsidR="001274B2" w:rsidRPr="00FC1E5A">
        <w:rPr>
          <w:rFonts w:ascii="Arial" w:hAnsi="Arial"/>
        </w:rPr>
        <w:t>3: Climate impact of and emission reduction targets for all activities</w:t>
      </w:r>
      <w:bookmarkEnd w:id="18"/>
    </w:p>
    <w:p w14:paraId="2DFF4957" w14:textId="77777777" w:rsidR="005C4F86" w:rsidRDefault="00980F8F" w:rsidP="001274B2">
      <w:pPr>
        <w:rPr>
          <w:rFonts w:cs="Arial"/>
          <w:lang w:val="en-GB"/>
        </w:rPr>
      </w:pPr>
      <w:r>
        <w:rPr>
          <w:rFonts w:cs="Arial"/>
          <w:lang w:val="en-GB"/>
        </w:rPr>
        <w:t>The third assessment dimension</w:t>
      </w:r>
      <w:r w:rsidR="001274B2" w:rsidRPr="00FC1E5A">
        <w:rPr>
          <w:rFonts w:cs="Arial"/>
          <w:lang w:val="en-GB"/>
        </w:rPr>
        <w:t xml:space="preserve"> is underpinned by </w:t>
      </w:r>
      <w:r w:rsidR="001274B2" w:rsidRPr="00980F8F">
        <w:rPr>
          <w:rFonts w:cs="Arial"/>
          <w:lang w:val="en-GB"/>
        </w:rPr>
        <w:t>three key questions</w:t>
      </w:r>
      <w:r w:rsidR="001274B2" w:rsidRPr="00FC1E5A">
        <w:rPr>
          <w:rFonts w:cs="Arial"/>
          <w:lang w:val="en-GB"/>
        </w:rPr>
        <w:t xml:space="preserve"> regarding the climate impact and </w:t>
      </w:r>
      <w:r w:rsidR="007D52F6">
        <w:rPr>
          <w:rFonts w:cs="Arial"/>
          <w:lang w:val="en-GB"/>
        </w:rPr>
        <w:t xml:space="preserve">GHG </w:t>
      </w:r>
      <w:r w:rsidR="001274B2" w:rsidRPr="00FC1E5A">
        <w:rPr>
          <w:rFonts w:cs="Arial"/>
          <w:lang w:val="en-GB"/>
        </w:rPr>
        <w:t>emission</w:t>
      </w:r>
      <w:r w:rsidR="007D52F6">
        <w:rPr>
          <w:rFonts w:cs="Arial"/>
          <w:lang w:val="en-GB"/>
        </w:rPr>
        <w:t>s</w:t>
      </w:r>
      <w:r w:rsidR="001274B2" w:rsidRPr="00FC1E5A">
        <w:rPr>
          <w:rFonts w:cs="Arial"/>
          <w:lang w:val="en-GB"/>
        </w:rPr>
        <w:t xml:space="preserve"> reduction targets for all ECA activities. To achieve the objectives of the Paris Agreement</w:t>
      </w:r>
      <w:r w:rsidR="0091278C" w:rsidRPr="00FC1E5A">
        <w:rPr>
          <w:rFonts w:cs="Arial"/>
          <w:lang w:val="en-GB"/>
        </w:rPr>
        <w:t>,</w:t>
      </w:r>
      <w:r w:rsidR="001274B2" w:rsidRPr="00FC1E5A">
        <w:rPr>
          <w:rFonts w:cs="Arial"/>
          <w:lang w:val="en-GB"/>
        </w:rPr>
        <w:t xml:space="preserve"> not only rapid fossil fuel phase out is required, but other sectors</w:t>
      </w:r>
      <w:r w:rsidR="0091278C" w:rsidRPr="00FC1E5A">
        <w:rPr>
          <w:rFonts w:cs="Arial"/>
          <w:lang w:val="en-GB"/>
        </w:rPr>
        <w:t xml:space="preserve"> also</w:t>
      </w:r>
      <w:r w:rsidR="001274B2" w:rsidRPr="00FC1E5A">
        <w:rPr>
          <w:rFonts w:cs="Arial"/>
          <w:lang w:val="en-GB"/>
        </w:rPr>
        <w:t xml:space="preserve"> need to drastically reduce absolute emission</w:t>
      </w:r>
      <w:r w:rsidR="005E3931">
        <w:rPr>
          <w:rFonts w:cs="Arial"/>
          <w:lang w:val="en-GB"/>
        </w:rPr>
        <w:t>s</w:t>
      </w:r>
      <w:r w:rsidR="001274B2" w:rsidRPr="00FC1E5A">
        <w:rPr>
          <w:rFonts w:cs="Arial"/>
          <w:lang w:val="en-GB"/>
        </w:rPr>
        <w:t xml:space="preserve"> levels</w:t>
      </w:r>
      <w:r w:rsidR="003514A6" w:rsidRPr="00FC1E5A">
        <w:rPr>
          <w:rFonts w:cs="Arial"/>
          <w:lang w:val="en-GB"/>
        </w:rPr>
        <w:t xml:space="preserve"> (IEA 2021)</w:t>
      </w:r>
      <w:r w:rsidR="001274B2" w:rsidRPr="00FC1E5A">
        <w:rPr>
          <w:rFonts w:cs="Arial"/>
          <w:lang w:val="en-GB"/>
        </w:rPr>
        <w:t xml:space="preserve">. </w:t>
      </w:r>
      <w:r w:rsidR="00A90D66">
        <w:rPr>
          <w:rFonts w:cs="Arial"/>
          <w:lang w:val="en-GB"/>
        </w:rPr>
        <w:t xml:space="preserve">In </w:t>
      </w:r>
      <w:r w:rsidR="007D52F6">
        <w:rPr>
          <w:rFonts w:cs="Arial"/>
          <w:lang w:val="en-GB"/>
        </w:rPr>
        <w:t xml:space="preserve">the </w:t>
      </w:r>
      <w:r w:rsidR="00A90D66">
        <w:rPr>
          <w:rFonts w:cs="Arial"/>
          <w:lang w:val="en-GB"/>
        </w:rPr>
        <w:t>absence of comprehensive GHG accounting the assessment of this dimension is difficult</w:t>
      </w:r>
      <w:r w:rsidR="009371CC">
        <w:rPr>
          <w:rFonts w:cs="Arial"/>
          <w:lang w:val="en-GB"/>
        </w:rPr>
        <w:t xml:space="preserve"> – however, where possible, we look at second-best indicators to proxy the </w:t>
      </w:r>
      <w:r w:rsidR="009766F0">
        <w:rPr>
          <w:rFonts w:cs="Arial"/>
          <w:lang w:val="en-GB"/>
        </w:rPr>
        <w:t xml:space="preserve">emission intensity of an ECA portfolio (e.g., </w:t>
      </w:r>
      <w:r w:rsidR="00285CD2">
        <w:rPr>
          <w:rFonts w:cs="Arial"/>
          <w:lang w:val="en-GB"/>
        </w:rPr>
        <w:t>fossil fuel-related energy sector finance</w:t>
      </w:r>
      <w:r w:rsidR="003D3D24">
        <w:rPr>
          <w:rFonts w:cs="Arial"/>
          <w:lang w:val="en-GB"/>
        </w:rPr>
        <w:t>).</w:t>
      </w:r>
      <w:r w:rsidR="00CE3DBF">
        <w:rPr>
          <w:rFonts w:cs="Arial"/>
          <w:lang w:val="en-GB"/>
        </w:rPr>
        <w:t xml:space="preserve"> </w:t>
      </w:r>
      <w:r w:rsidR="004709A9">
        <w:rPr>
          <w:rFonts w:cs="Arial"/>
          <w:lang w:val="en-GB"/>
        </w:rPr>
        <w:t>The methodology</w:t>
      </w:r>
      <w:r w:rsidR="008410BD">
        <w:rPr>
          <w:rFonts w:cs="Arial"/>
          <w:lang w:val="en-GB"/>
        </w:rPr>
        <w:t xml:space="preserve"> assign</w:t>
      </w:r>
      <w:r w:rsidR="004709A9">
        <w:rPr>
          <w:rFonts w:cs="Arial"/>
          <w:lang w:val="en-GB"/>
        </w:rPr>
        <w:t>s</w:t>
      </w:r>
      <w:r w:rsidR="008410BD">
        <w:rPr>
          <w:rFonts w:cs="Arial"/>
          <w:lang w:val="en-GB"/>
        </w:rPr>
        <w:t xml:space="preserve"> this</w:t>
      </w:r>
      <w:r w:rsidR="004709A9">
        <w:rPr>
          <w:rFonts w:cs="Arial"/>
          <w:lang w:val="en-GB"/>
        </w:rPr>
        <w:t xml:space="preserve"> dimension an overall weight of 20%. </w:t>
      </w:r>
    </w:p>
    <w:p w14:paraId="35AD6BAB" w14:textId="77777777" w:rsidR="001274B2" w:rsidRPr="00FC1E5A" w:rsidRDefault="002464BB" w:rsidP="001274B2">
      <w:pPr>
        <w:rPr>
          <w:rFonts w:cs="Arial"/>
          <w:lang w:val="en-GB"/>
        </w:rPr>
      </w:pPr>
      <w:r>
        <w:rPr>
          <w:rFonts w:cs="Arial"/>
          <w:b/>
          <w:bCs/>
          <w:lang w:val="en-GB"/>
        </w:rPr>
        <w:t xml:space="preserve">In this assessment dimension, Atradius DSB is </w:t>
      </w:r>
      <w:r w:rsidR="001274B2" w:rsidRPr="00FC1E5A">
        <w:rPr>
          <w:rFonts w:cs="Arial"/>
          <w:b/>
          <w:bCs/>
          <w:lang w:val="en-GB"/>
        </w:rPr>
        <w:t xml:space="preserve">rated </w:t>
      </w:r>
      <w:r w:rsidR="0091278C" w:rsidRPr="00FC1E5A">
        <w:rPr>
          <w:rFonts w:cs="Arial"/>
          <w:b/>
          <w:bCs/>
          <w:lang w:val="en-GB"/>
        </w:rPr>
        <w:t>‘</w:t>
      </w:r>
      <w:r w:rsidR="00114BEF">
        <w:rPr>
          <w:rFonts w:cs="Arial"/>
          <w:b/>
          <w:bCs/>
          <w:lang w:val="en-GB"/>
        </w:rPr>
        <w:t>U</w:t>
      </w:r>
      <w:r w:rsidR="001274B2" w:rsidRPr="00FC1E5A">
        <w:rPr>
          <w:rFonts w:cs="Arial"/>
          <w:b/>
          <w:bCs/>
          <w:lang w:val="en-GB"/>
        </w:rPr>
        <w:t>naligned</w:t>
      </w:r>
      <w:r w:rsidR="0091278C" w:rsidRPr="00FC1E5A">
        <w:rPr>
          <w:rFonts w:cs="Arial"/>
          <w:b/>
          <w:bCs/>
          <w:lang w:val="en-GB"/>
        </w:rPr>
        <w:t>’</w:t>
      </w:r>
      <w:r w:rsidR="001274B2" w:rsidRPr="00FC1E5A">
        <w:rPr>
          <w:rFonts w:cs="Arial"/>
          <w:b/>
          <w:bCs/>
          <w:lang w:val="en-GB"/>
        </w:rPr>
        <w:t xml:space="preserve"> with a sub-score of 0.0</w:t>
      </w:r>
      <w:r w:rsidR="003F40DC" w:rsidRPr="00FC1E5A">
        <w:rPr>
          <w:rFonts w:cs="Arial"/>
          <w:b/>
          <w:bCs/>
          <w:lang w:val="en-GB"/>
        </w:rPr>
        <w:t>0</w:t>
      </w:r>
      <w:r w:rsidR="00DB1842" w:rsidRPr="00FC1E5A">
        <w:rPr>
          <w:rFonts w:cs="Arial"/>
          <w:b/>
          <w:bCs/>
          <w:lang w:val="en-GB"/>
        </w:rPr>
        <w:t>/3.0</w:t>
      </w:r>
      <w:r w:rsidR="003F40DC" w:rsidRPr="00FC1E5A">
        <w:rPr>
          <w:rFonts w:cs="Arial"/>
          <w:b/>
          <w:bCs/>
          <w:lang w:val="en-GB"/>
        </w:rPr>
        <w:t>0</w:t>
      </w:r>
      <w:r w:rsidR="001274B2" w:rsidRPr="00FC1E5A">
        <w:rPr>
          <w:rFonts w:cs="Arial"/>
          <w:lang w:val="en-GB"/>
        </w:rPr>
        <w:t xml:space="preserve">. The lack of </w:t>
      </w:r>
      <w:r w:rsidR="00EC3D02">
        <w:rPr>
          <w:rFonts w:cs="Arial"/>
          <w:lang w:val="en-GB"/>
        </w:rPr>
        <w:t xml:space="preserve">relevant </w:t>
      </w:r>
      <w:r w:rsidR="001274B2" w:rsidRPr="00FC1E5A">
        <w:rPr>
          <w:rFonts w:cs="Arial"/>
          <w:lang w:val="en-GB"/>
        </w:rPr>
        <w:t>information is the main reason for th</w:t>
      </w:r>
      <w:r w:rsidR="00EC3D02">
        <w:rPr>
          <w:rFonts w:cs="Arial"/>
          <w:lang w:val="en-GB"/>
        </w:rPr>
        <w:t>is negative</w:t>
      </w:r>
      <w:r w:rsidR="001274B2" w:rsidRPr="00FC1E5A">
        <w:rPr>
          <w:rFonts w:cs="Arial"/>
          <w:lang w:val="en-GB"/>
        </w:rPr>
        <w:t xml:space="preserve"> result</w:t>
      </w:r>
      <w:r w:rsidR="00B476BA">
        <w:rPr>
          <w:rFonts w:cs="Arial"/>
          <w:lang w:val="en-GB"/>
        </w:rPr>
        <w:t xml:space="preserve">, including on </w:t>
      </w:r>
      <w:r w:rsidR="00E63767">
        <w:rPr>
          <w:rFonts w:cs="Arial"/>
          <w:lang w:val="en-GB"/>
        </w:rPr>
        <w:t xml:space="preserve">climate-related </w:t>
      </w:r>
      <w:r w:rsidR="00B476BA">
        <w:rPr>
          <w:rFonts w:cs="Arial"/>
          <w:lang w:val="en-GB"/>
        </w:rPr>
        <w:t>n</w:t>
      </w:r>
      <w:r w:rsidR="00953F42">
        <w:rPr>
          <w:rFonts w:cs="Arial"/>
          <w:lang w:val="en-GB"/>
        </w:rPr>
        <w:t>on-financial disclosure, granular financing data</w:t>
      </w:r>
      <w:r w:rsidR="00D47643">
        <w:rPr>
          <w:rFonts w:cs="Arial"/>
          <w:lang w:val="en-GB"/>
        </w:rPr>
        <w:t xml:space="preserve"> in the energy sector</w:t>
      </w:r>
      <w:r w:rsidR="00953F42">
        <w:rPr>
          <w:rFonts w:cs="Arial"/>
          <w:lang w:val="en-GB"/>
        </w:rPr>
        <w:t xml:space="preserve"> </w:t>
      </w:r>
      <w:r w:rsidR="00A14258">
        <w:rPr>
          <w:rFonts w:cs="Arial"/>
          <w:lang w:val="en-GB"/>
        </w:rPr>
        <w:t xml:space="preserve">and </w:t>
      </w:r>
      <w:r w:rsidR="005E3931">
        <w:rPr>
          <w:rFonts w:cs="Arial"/>
          <w:lang w:val="en-GB"/>
        </w:rPr>
        <w:t xml:space="preserve">lack of </w:t>
      </w:r>
      <w:r w:rsidR="00953F42">
        <w:rPr>
          <w:rFonts w:cs="Arial"/>
          <w:lang w:val="en-GB"/>
        </w:rPr>
        <w:t xml:space="preserve">GHG reduction targets in line with an ambitious 1.5°C scenario </w:t>
      </w:r>
      <w:r w:rsidR="004E75EE">
        <w:rPr>
          <w:rFonts w:cs="Arial"/>
          <w:lang w:val="en-GB"/>
        </w:rPr>
        <w:t xml:space="preserve">in </w:t>
      </w:r>
      <w:r w:rsidR="003A2F6F">
        <w:rPr>
          <w:rFonts w:cs="Arial"/>
          <w:lang w:val="en-GB"/>
        </w:rPr>
        <w:t>all</w:t>
      </w:r>
      <w:r w:rsidR="009B5E8D">
        <w:rPr>
          <w:rFonts w:cs="Arial"/>
          <w:lang w:val="en-GB"/>
        </w:rPr>
        <w:t xml:space="preserve"> relevant</w:t>
      </w:r>
      <w:r w:rsidR="003A2F6F">
        <w:rPr>
          <w:rFonts w:cs="Arial"/>
          <w:lang w:val="en-GB"/>
        </w:rPr>
        <w:t xml:space="preserve"> sectors</w:t>
      </w:r>
      <w:r w:rsidR="009B5E8D">
        <w:rPr>
          <w:rFonts w:cs="Arial"/>
          <w:lang w:val="en-GB"/>
        </w:rPr>
        <w:t>.</w:t>
      </w:r>
      <w:r w:rsidR="003A2F6F">
        <w:rPr>
          <w:rFonts w:cs="Arial"/>
          <w:lang w:val="en-GB"/>
        </w:rPr>
        <w:t xml:space="preserve"> </w:t>
      </w:r>
      <w:r w:rsidR="009B5E8D">
        <w:rPr>
          <w:rFonts w:cs="Arial"/>
          <w:lang w:val="en-GB"/>
        </w:rPr>
        <w:t xml:space="preserve">Such information is </w:t>
      </w:r>
      <w:r w:rsidR="00651DB4">
        <w:rPr>
          <w:rFonts w:cs="Arial"/>
          <w:lang w:val="en-GB"/>
        </w:rPr>
        <w:t>needed to improve the scoring in this dimen</w:t>
      </w:r>
      <w:r w:rsidR="00C3025C">
        <w:rPr>
          <w:rFonts w:cs="Arial"/>
          <w:lang w:val="en-GB"/>
        </w:rPr>
        <w:t>s</w:t>
      </w:r>
      <w:r w:rsidR="00651DB4">
        <w:rPr>
          <w:rFonts w:cs="Arial"/>
          <w:lang w:val="en-GB"/>
        </w:rPr>
        <w:t>ion</w:t>
      </w:r>
      <w:r w:rsidR="001274B2" w:rsidRPr="00FC1E5A">
        <w:rPr>
          <w:rFonts w:cs="Arial"/>
          <w:lang w:val="en-GB"/>
        </w:rPr>
        <w:t xml:space="preserve">. </w:t>
      </w:r>
    </w:p>
    <w:tbl>
      <w:tblPr>
        <w:tblStyle w:val="Tabellenraster"/>
        <w:tblW w:w="9019" w:type="dxa"/>
        <w:tblInd w:w="-5" w:type="dxa"/>
        <w:tblLook w:val="04A0" w:firstRow="1" w:lastRow="0" w:firstColumn="1" w:lastColumn="0" w:noHBand="0" w:noVBand="1"/>
      </w:tblPr>
      <w:tblGrid>
        <w:gridCol w:w="742"/>
        <w:gridCol w:w="7030"/>
        <w:gridCol w:w="1247"/>
      </w:tblGrid>
      <w:tr w:rsidR="001274B2" w:rsidRPr="00FC1E5A" w14:paraId="4C309EA2" w14:textId="77777777" w:rsidTr="00493C62">
        <w:trPr>
          <w:trHeight w:val="340"/>
          <w:tblHeader/>
        </w:trPr>
        <w:tc>
          <w:tcPr>
            <w:tcW w:w="742" w:type="dxa"/>
          </w:tcPr>
          <w:p w14:paraId="59084986" w14:textId="77777777" w:rsidR="001274B2" w:rsidRPr="00FC1E5A" w:rsidRDefault="001274B2" w:rsidP="001274B2">
            <w:pPr>
              <w:spacing w:after="120"/>
              <w:rPr>
                <w:rFonts w:cs="Arial"/>
                <w:sz w:val="18"/>
                <w:szCs w:val="18"/>
                <w:lang w:val="en-GB"/>
              </w:rPr>
            </w:pPr>
            <w:r w:rsidRPr="00FC1E5A">
              <w:rPr>
                <w:rFonts w:cs="Arial"/>
                <w:b/>
                <w:bCs/>
                <w:sz w:val="18"/>
                <w:szCs w:val="18"/>
                <w:lang w:val="en-GB"/>
              </w:rPr>
              <w:t>Q Nr.</w:t>
            </w:r>
          </w:p>
        </w:tc>
        <w:tc>
          <w:tcPr>
            <w:tcW w:w="7030" w:type="dxa"/>
          </w:tcPr>
          <w:p w14:paraId="2DF981AE" w14:textId="77777777" w:rsidR="001274B2" w:rsidRPr="00FC1E5A" w:rsidRDefault="007B5D98" w:rsidP="001274B2">
            <w:pPr>
              <w:spacing w:after="120"/>
              <w:rPr>
                <w:rFonts w:cs="Arial"/>
                <w:sz w:val="18"/>
                <w:szCs w:val="18"/>
                <w:lang w:val="en-GB"/>
              </w:rPr>
            </w:pPr>
            <w:r>
              <w:rPr>
                <w:rFonts w:cs="Arial"/>
                <w:b/>
                <w:bCs/>
                <w:sz w:val="18"/>
                <w:szCs w:val="18"/>
                <w:lang w:val="en-GB"/>
              </w:rPr>
              <w:t>Dimension</w:t>
            </w:r>
            <w:r w:rsidR="001274B2" w:rsidRPr="00FC1E5A">
              <w:rPr>
                <w:rFonts w:cs="Arial"/>
                <w:b/>
                <w:bCs/>
                <w:sz w:val="18"/>
                <w:szCs w:val="18"/>
                <w:lang w:val="en-GB"/>
              </w:rPr>
              <w:t xml:space="preserve"> 3 – key questions</w:t>
            </w:r>
          </w:p>
        </w:tc>
        <w:tc>
          <w:tcPr>
            <w:tcW w:w="1247" w:type="dxa"/>
            <w:shd w:val="clear" w:color="auto" w:fill="auto"/>
          </w:tcPr>
          <w:p w14:paraId="57F0CE8B" w14:textId="77777777" w:rsidR="001274B2" w:rsidRPr="00FC1E5A" w:rsidRDefault="001274B2" w:rsidP="001274B2">
            <w:pPr>
              <w:spacing w:after="120"/>
              <w:rPr>
                <w:rFonts w:cs="Arial"/>
                <w:sz w:val="18"/>
                <w:szCs w:val="18"/>
                <w:lang w:val="en-GB"/>
              </w:rPr>
            </w:pPr>
            <w:r w:rsidRPr="00FC1E5A">
              <w:rPr>
                <w:rFonts w:cs="Arial"/>
                <w:b/>
                <w:bCs/>
                <w:sz w:val="18"/>
                <w:szCs w:val="18"/>
                <w:lang w:val="en-GB"/>
              </w:rPr>
              <w:t>Rating</w:t>
            </w:r>
          </w:p>
        </w:tc>
      </w:tr>
      <w:tr w:rsidR="001274B2" w:rsidRPr="00FC1E5A" w14:paraId="35764BCB" w14:textId="77777777" w:rsidTr="00493C62">
        <w:trPr>
          <w:trHeight w:val="113"/>
        </w:trPr>
        <w:tc>
          <w:tcPr>
            <w:tcW w:w="742" w:type="dxa"/>
          </w:tcPr>
          <w:p w14:paraId="00429B86" w14:textId="77777777" w:rsidR="001274B2" w:rsidRPr="00FC1E5A" w:rsidRDefault="001274B2" w:rsidP="001274B2">
            <w:pPr>
              <w:spacing w:after="120"/>
              <w:rPr>
                <w:rFonts w:cs="Arial"/>
                <w:sz w:val="18"/>
                <w:szCs w:val="18"/>
                <w:lang w:val="en-GB"/>
              </w:rPr>
            </w:pPr>
            <w:r w:rsidRPr="00FC1E5A">
              <w:rPr>
                <w:rFonts w:cs="Arial"/>
                <w:sz w:val="18"/>
                <w:szCs w:val="18"/>
                <w:lang w:val="en-GB"/>
              </w:rPr>
              <w:t>3.1</w:t>
            </w:r>
          </w:p>
        </w:tc>
        <w:tc>
          <w:tcPr>
            <w:tcW w:w="7030" w:type="dxa"/>
          </w:tcPr>
          <w:p w14:paraId="16552206" w14:textId="77777777" w:rsidR="001274B2" w:rsidRPr="00FC1E5A" w:rsidRDefault="001274B2" w:rsidP="001274B2">
            <w:pPr>
              <w:spacing w:after="120"/>
              <w:rPr>
                <w:rFonts w:cs="Arial"/>
                <w:sz w:val="18"/>
                <w:szCs w:val="18"/>
                <w:lang w:val="en-GB"/>
              </w:rPr>
            </w:pPr>
            <w:r w:rsidRPr="00FC1E5A">
              <w:rPr>
                <w:rFonts w:cs="Arial"/>
                <w:sz w:val="18"/>
                <w:szCs w:val="18"/>
                <w:lang w:val="en-GB"/>
              </w:rPr>
              <w:t>Can a declining trend in GHG intensity of the total portfolio be observed? (tCO</w:t>
            </w:r>
            <w:r w:rsidRPr="00FC1E5A">
              <w:rPr>
                <w:rFonts w:cs="Arial"/>
                <w:sz w:val="18"/>
                <w:szCs w:val="18"/>
                <w:vertAlign w:val="subscript"/>
                <w:lang w:val="en-GB"/>
              </w:rPr>
              <w:t>2</w:t>
            </w:r>
            <w:r w:rsidRPr="00FC1E5A">
              <w:rPr>
                <w:rFonts w:cs="Arial"/>
                <w:sz w:val="18"/>
                <w:szCs w:val="18"/>
                <w:lang w:val="en-GB"/>
              </w:rPr>
              <w:t>e/</w:t>
            </w:r>
            <w:r w:rsidR="00FB5332" w:rsidRPr="00FC1E5A">
              <w:rPr>
                <w:rFonts w:cs="Arial"/>
                <w:sz w:val="18"/>
                <w:szCs w:val="18"/>
                <w:lang w:val="en-GB"/>
              </w:rPr>
              <w:t>US$</w:t>
            </w:r>
            <w:r w:rsidRPr="00FC1E5A">
              <w:rPr>
                <w:rFonts w:cs="Arial"/>
                <w:sz w:val="18"/>
                <w:szCs w:val="18"/>
                <w:lang w:val="en-GB"/>
              </w:rPr>
              <w:t xml:space="preserve">, </w:t>
            </w:r>
            <w:r w:rsidR="009554A4" w:rsidRPr="00FC1E5A">
              <w:rPr>
                <w:rFonts w:cs="Arial"/>
                <w:sz w:val="18"/>
                <w:szCs w:val="18"/>
                <w:lang w:val="en-GB"/>
              </w:rPr>
              <w:t>S</w:t>
            </w:r>
            <w:r w:rsidRPr="00FC1E5A">
              <w:rPr>
                <w:rFonts w:cs="Arial"/>
                <w:sz w:val="18"/>
                <w:szCs w:val="18"/>
                <w:lang w:val="en-GB"/>
              </w:rPr>
              <w:t xml:space="preserve">cope 1-3 emissions) </w:t>
            </w:r>
          </w:p>
        </w:tc>
        <w:tc>
          <w:tcPr>
            <w:tcW w:w="1247" w:type="dxa"/>
            <w:shd w:val="clear" w:color="auto" w:fill="FF0000"/>
          </w:tcPr>
          <w:p w14:paraId="5B06F873" w14:textId="77777777" w:rsidR="001274B2" w:rsidRPr="00FC1E5A" w:rsidRDefault="001274B2" w:rsidP="001274B2">
            <w:pPr>
              <w:spacing w:after="120"/>
              <w:rPr>
                <w:rFonts w:cs="Arial"/>
                <w:b/>
                <w:bCs/>
                <w:sz w:val="18"/>
                <w:szCs w:val="18"/>
                <w:lang w:val="en-GB"/>
              </w:rPr>
            </w:pPr>
            <w:r w:rsidRPr="00FC1E5A">
              <w:rPr>
                <w:rFonts w:cs="Arial"/>
                <w:b/>
                <w:bCs/>
                <w:sz w:val="18"/>
                <w:szCs w:val="18"/>
                <w:lang w:val="en-GB"/>
              </w:rPr>
              <w:t>Unaligned</w:t>
            </w:r>
          </w:p>
        </w:tc>
      </w:tr>
      <w:tr w:rsidR="001274B2" w:rsidRPr="00FC1E5A" w14:paraId="7348069A" w14:textId="77777777" w:rsidTr="00493C62">
        <w:trPr>
          <w:trHeight w:val="340"/>
        </w:trPr>
        <w:tc>
          <w:tcPr>
            <w:tcW w:w="742" w:type="dxa"/>
          </w:tcPr>
          <w:p w14:paraId="16468C02" w14:textId="77777777" w:rsidR="001274B2" w:rsidRPr="00FC1E5A" w:rsidRDefault="001274B2" w:rsidP="001274B2">
            <w:pPr>
              <w:spacing w:after="120"/>
              <w:rPr>
                <w:rFonts w:cs="Arial"/>
                <w:sz w:val="18"/>
                <w:szCs w:val="18"/>
                <w:lang w:val="en-GB"/>
              </w:rPr>
            </w:pPr>
            <w:r w:rsidRPr="00FC1E5A">
              <w:rPr>
                <w:rFonts w:cs="Arial"/>
                <w:sz w:val="18"/>
                <w:szCs w:val="18"/>
                <w:lang w:val="en-GB"/>
              </w:rPr>
              <w:t>3.2</w:t>
            </w:r>
          </w:p>
        </w:tc>
        <w:tc>
          <w:tcPr>
            <w:tcW w:w="7030" w:type="dxa"/>
          </w:tcPr>
          <w:p w14:paraId="2B75D35D" w14:textId="77777777" w:rsidR="001274B2" w:rsidRPr="00FC1E5A" w:rsidRDefault="001274B2" w:rsidP="001274B2">
            <w:pPr>
              <w:spacing w:after="120"/>
              <w:rPr>
                <w:rFonts w:cs="Arial"/>
                <w:sz w:val="18"/>
                <w:szCs w:val="18"/>
                <w:lang w:val="en-GB"/>
              </w:rPr>
            </w:pPr>
            <w:r w:rsidRPr="00FC1E5A">
              <w:rPr>
                <w:rFonts w:cs="Arial"/>
                <w:sz w:val="18"/>
                <w:szCs w:val="18"/>
                <w:lang w:val="en-GB"/>
              </w:rPr>
              <w:t xml:space="preserve">How significant is the fossil fuel financing relative to total energy-related portfolio? </w:t>
            </w:r>
            <w:r w:rsidR="00C27CFC" w:rsidRPr="00C27CFC">
              <w:rPr>
                <w:rFonts w:cs="Arial"/>
                <w:sz w:val="18"/>
                <w:szCs w:val="18"/>
                <w:lang w:val="en-GB"/>
              </w:rPr>
              <w:t>(average of new commitments from the last three years where data is available)</w:t>
            </w:r>
          </w:p>
        </w:tc>
        <w:tc>
          <w:tcPr>
            <w:tcW w:w="1247" w:type="dxa"/>
            <w:shd w:val="clear" w:color="auto" w:fill="FF0000"/>
          </w:tcPr>
          <w:p w14:paraId="623A57D2" w14:textId="77777777" w:rsidR="001274B2" w:rsidRPr="00FC1E5A" w:rsidRDefault="001274B2" w:rsidP="001274B2">
            <w:pPr>
              <w:spacing w:after="120"/>
              <w:rPr>
                <w:rFonts w:cs="Arial"/>
                <w:b/>
                <w:bCs/>
                <w:sz w:val="18"/>
                <w:szCs w:val="18"/>
                <w:lang w:val="en-GB"/>
              </w:rPr>
            </w:pPr>
            <w:r w:rsidRPr="00FC1E5A">
              <w:rPr>
                <w:rFonts w:cs="Arial"/>
                <w:b/>
                <w:bCs/>
                <w:sz w:val="18"/>
                <w:szCs w:val="18"/>
                <w:lang w:val="en-GB"/>
              </w:rPr>
              <w:t>Unaligned</w:t>
            </w:r>
          </w:p>
        </w:tc>
      </w:tr>
      <w:tr w:rsidR="001274B2" w:rsidRPr="00FC1E5A" w14:paraId="25400B08" w14:textId="77777777" w:rsidTr="00493C62">
        <w:trPr>
          <w:trHeight w:val="680"/>
        </w:trPr>
        <w:tc>
          <w:tcPr>
            <w:tcW w:w="742" w:type="dxa"/>
          </w:tcPr>
          <w:p w14:paraId="2D3230B1" w14:textId="77777777" w:rsidR="001274B2" w:rsidRPr="00FC1E5A" w:rsidRDefault="001274B2" w:rsidP="001274B2">
            <w:pPr>
              <w:spacing w:after="120"/>
              <w:rPr>
                <w:rFonts w:cs="Arial"/>
                <w:sz w:val="18"/>
                <w:szCs w:val="18"/>
                <w:lang w:val="en-GB"/>
              </w:rPr>
            </w:pPr>
            <w:r w:rsidRPr="00FC1E5A">
              <w:rPr>
                <w:rFonts w:cs="Arial"/>
                <w:sz w:val="18"/>
                <w:szCs w:val="18"/>
                <w:lang w:val="en-GB"/>
              </w:rPr>
              <w:t>3.3</w:t>
            </w:r>
          </w:p>
        </w:tc>
        <w:tc>
          <w:tcPr>
            <w:tcW w:w="7030" w:type="dxa"/>
          </w:tcPr>
          <w:p w14:paraId="7982BBC2" w14:textId="77777777" w:rsidR="001274B2" w:rsidRPr="00FC1E5A" w:rsidRDefault="001274B2" w:rsidP="001274B2">
            <w:pPr>
              <w:spacing w:after="120"/>
              <w:rPr>
                <w:rFonts w:cs="Arial"/>
                <w:sz w:val="18"/>
                <w:szCs w:val="18"/>
                <w:lang w:val="en-GB"/>
              </w:rPr>
            </w:pPr>
            <w:r w:rsidRPr="00FC1E5A">
              <w:rPr>
                <w:rFonts w:cs="Arial"/>
                <w:sz w:val="18"/>
                <w:szCs w:val="18"/>
                <w:lang w:val="en-GB"/>
              </w:rPr>
              <w:t>To what extent do all emission-relevant sectors have targeted GHG reduction targets and in how far are GHG reduction targets in line with benchmarks of acceptable 1.5°C pathways?</w:t>
            </w:r>
          </w:p>
        </w:tc>
        <w:tc>
          <w:tcPr>
            <w:tcW w:w="1247" w:type="dxa"/>
            <w:shd w:val="clear" w:color="auto" w:fill="FF0000"/>
          </w:tcPr>
          <w:p w14:paraId="2769E9EE" w14:textId="77777777" w:rsidR="001274B2" w:rsidRPr="00FC1E5A" w:rsidRDefault="001274B2" w:rsidP="001274B2">
            <w:pPr>
              <w:spacing w:after="120"/>
              <w:rPr>
                <w:rFonts w:cs="Arial"/>
                <w:b/>
                <w:bCs/>
                <w:sz w:val="18"/>
                <w:szCs w:val="18"/>
                <w:lang w:val="en-GB"/>
              </w:rPr>
            </w:pPr>
            <w:r w:rsidRPr="00FC1E5A">
              <w:rPr>
                <w:rFonts w:cs="Arial"/>
                <w:b/>
                <w:bCs/>
                <w:sz w:val="18"/>
                <w:szCs w:val="18"/>
                <w:lang w:val="en-GB"/>
              </w:rPr>
              <w:t>Unaligned</w:t>
            </w:r>
            <w:r w:rsidRPr="00FC1E5A">
              <w:rPr>
                <w:rFonts w:cs="Arial"/>
                <w:b/>
                <w:bCs/>
                <w:sz w:val="18"/>
                <w:szCs w:val="18"/>
                <w:lang w:val="en-GB"/>
              </w:rPr>
              <w:tab/>
            </w:r>
          </w:p>
        </w:tc>
      </w:tr>
    </w:tbl>
    <w:p w14:paraId="24F3F4E5" w14:textId="77777777" w:rsidR="001274B2" w:rsidRPr="00FC1E5A" w:rsidRDefault="001274B2" w:rsidP="00493C62">
      <w:pPr>
        <w:spacing w:before="120" w:after="120"/>
        <w:rPr>
          <w:rFonts w:cs="Arial"/>
          <w:b/>
          <w:bCs/>
          <w:lang w:val="en-GB"/>
        </w:rPr>
      </w:pPr>
      <w:r w:rsidRPr="00FC1E5A">
        <w:rPr>
          <w:rFonts w:cs="Arial"/>
          <w:b/>
          <w:bCs/>
          <w:lang w:val="en-GB"/>
        </w:rPr>
        <w:t>Q3.1: Can a declining trend in GHG intensity of the total portfolio be observed? (tCO</w:t>
      </w:r>
      <w:r w:rsidRPr="00FC1E5A">
        <w:rPr>
          <w:rFonts w:cs="Arial"/>
          <w:b/>
          <w:bCs/>
          <w:vertAlign w:val="subscript"/>
          <w:lang w:val="en-GB"/>
        </w:rPr>
        <w:t>2</w:t>
      </w:r>
      <w:r w:rsidRPr="00FC1E5A">
        <w:rPr>
          <w:rFonts w:cs="Arial"/>
          <w:b/>
          <w:bCs/>
          <w:lang w:val="en-GB"/>
        </w:rPr>
        <w:t>e/</w:t>
      </w:r>
      <w:r w:rsidR="00FB5332" w:rsidRPr="00FC1E5A">
        <w:rPr>
          <w:rFonts w:cs="Arial"/>
          <w:b/>
          <w:bCs/>
          <w:lang w:val="en-GB"/>
        </w:rPr>
        <w:t>US</w:t>
      </w:r>
      <w:r w:rsidR="004A48A1">
        <w:rPr>
          <w:rFonts w:cs="Arial"/>
          <w:b/>
          <w:bCs/>
          <w:lang w:val="en-GB"/>
        </w:rPr>
        <w:t>D</w:t>
      </w:r>
      <w:r w:rsidRPr="00FC1E5A">
        <w:rPr>
          <w:rFonts w:cs="Arial"/>
          <w:b/>
          <w:bCs/>
          <w:lang w:val="en-GB"/>
        </w:rPr>
        <w:t xml:space="preserve">, scope 1-3 emissions) </w:t>
      </w:r>
    </w:p>
    <w:p w14:paraId="3E06B781" w14:textId="77777777" w:rsidR="001274B2" w:rsidRPr="00FC1E5A" w:rsidRDefault="002D5A70" w:rsidP="001274B2">
      <w:pPr>
        <w:rPr>
          <w:rFonts w:cs="Arial"/>
          <w:lang w:val="en-GB"/>
        </w:rPr>
      </w:pPr>
      <w:r>
        <w:rPr>
          <w:rFonts w:cs="Arial"/>
          <w:lang w:val="en-GB"/>
        </w:rPr>
        <w:t>Atradius DSB</w:t>
      </w:r>
      <w:r w:rsidR="001274B2" w:rsidRPr="00FC1E5A">
        <w:rPr>
          <w:rFonts w:cs="Arial"/>
          <w:lang w:val="en-GB"/>
        </w:rPr>
        <w:t xml:space="preserve"> does not operate a GHG accounting system</w:t>
      </w:r>
      <w:r w:rsidR="003F119C">
        <w:rPr>
          <w:rFonts w:cs="Arial"/>
          <w:lang w:val="en-GB"/>
        </w:rPr>
        <w:t>,</w:t>
      </w:r>
      <w:r w:rsidR="00D90DDD">
        <w:rPr>
          <w:rFonts w:cs="Arial"/>
          <w:lang w:val="en-GB"/>
        </w:rPr>
        <w:t xml:space="preserve"> </w:t>
      </w:r>
      <w:r w:rsidR="003F119C">
        <w:rPr>
          <w:rFonts w:cs="Arial"/>
          <w:lang w:val="en-GB"/>
        </w:rPr>
        <w:t>t</w:t>
      </w:r>
      <w:r w:rsidR="00D90DDD">
        <w:rPr>
          <w:rFonts w:cs="Arial"/>
          <w:lang w:val="en-GB"/>
        </w:rPr>
        <w:t xml:space="preserve">herefore </w:t>
      </w:r>
      <w:r>
        <w:rPr>
          <w:rFonts w:cs="Arial"/>
          <w:lang w:val="en-GB"/>
        </w:rPr>
        <w:t xml:space="preserve">no </w:t>
      </w:r>
      <w:r w:rsidR="001274B2" w:rsidRPr="00FC1E5A">
        <w:rPr>
          <w:rFonts w:cs="Arial"/>
          <w:lang w:val="en-GB"/>
        </w:rPr>
        <w:t>trend in</w:t>
      </w:r>
      <w:r>
        <w:rPr>
          <w:rFonts w:cs="Arial"/>
          <w:lang w:val="en-GB"/>
        </w:rPr>
        <w:t xml:space="preserve"> the</w:t>
      </w:r>
      <w:r w:rsidR="001274B2" w:rsidRPr="00FC1E5A">
        <w:rPr>
          <w:rFonts w:cs="Arial"/>
          <w:lang w:val="en-GB"/>
        </w:rPr>
        <w:t xml:space="preserve"> GHG intensity </w:t>
      </w:r>
      <w:r>
        <w:rPr>
          <w:rFonts w:cs="Arial"/>
          <w:lang w:val="en-GB"/>
        </w:rPr>
        <w:t xml:space="preserve">of the entire portfolio </w:t>
      </w:r>
      <w:r w:rsidR="00D90DDD">
        <w:rPr>
          <w:rFonts w:cs="Arial"/>
          <w:lang w:val="en-GB"/>
        </w:rPr>
        <w:t xml:space="preserve">could </w:t>
      </w:r>
      <w:r w:rsidR="001274B2" w:rsidRPr="00FC1E5A">
        <w:rPr>
          <w:rFonts w:cs="Arial"/>
          <w:lang w:val="en-GB"/>
        </w:rPr>
        <w:t>be determined</w:t>
      </w:r>
      <w:r w:rsidR="00A61682">
        <w:rPr>
          <w:rFonts w:cs="Arial"/>
          <w:lang w:val="en-GB"/>
        </w:rPr>
        <w:t xml:space="preserve"> </w:t>
      </w:r>
      <w:r w:rsidR="001374EB">
        <w:rPr>
          <w:rFonts w:cs="Arial"/>
          <w:lang w:val="en-GB"/>
        </w:rPr>
        <w:t>le</w:t>
      </w:r>
      <w:r w:rsidR="00D90DDD">
        <w:rPr>
          <w:rFonts w:cs="Arial"/>
          <w:lang w:val="en-GB"/>
        </w:rPr>
        <w:t>ading</w:t>
      </w:r>
      <w:r w:rsidR="001374EB">
        <w:rPr>
          <w:rFonts w:cs="Arial"/>
          <w:lang w:val="en-GB"/>
        </w:rPr>
        <w:t xml:space="preserve"> </w:t>
      </w:r>
      <w:r w:rsidR="00A61682">
        <w:rPr>
          <w:rFonts w:cs="Arial"/>
          <w:lang w:val="en-GB"/>
        </w:rPr>
        <w:t xml:space="preserve">to the assessment result </w:t>
      </w:r>
      <w:r w:rsidR="00842A66">
        <w:rPr>
          <w:rFonts w:cs="Arial"/>
          <w:lang w:val="en-GB"/>
        </w:rPr>
        <w:t xml:space="preserve">of </w:t>
      </w:r>
      <w:r w:rsidR="00DB1842" w:rsidRPr="00FC1E5A">
        <w:rPr>
          <w:rFonts w:cs="Arial"/>
          <w:lang w:val="en-GB"/>
        </w:rPr>
        <w:t>‘</w:t>
      </w:r>
      <w:r w:rsidR="00114BEF">
        <w:rPr>
          <w:rFonts w:cs="Arial"/>
          <w:lang w:val="en-GB"/>
        </w:rPr>
        <w:t>U</w:t>
      </w:r>
      <w:r w:rsidR="00DB1842" w:rsidRPr="00FC1E5A">
        <w:rPr>
          <w:rFonts w:cs="Arial"/>
          <w:lang w:val="en-GB"/>
        </w:rPr>
        <w:t>naligned’.</w:t>
      </w:r>
      <w:r w:rsidR="00324010">
        <w:rPr>
          <w:rFonts w:cs="Arial"/>
          <w:lang w:val="en-GB"/>
        </w:rPr>
        <w:t xml:space="preserve"> </w:t>
      </w:r>
      <w:bookmarkStart w:id="19" w:name="_Hlk83140662"/>
      <w:r w:rsidR="00324010">
        <w:rPr>
          <w:rFonts w:cs="Arial"/>
          <w:lang w:val="en-GB"/>
        </w:rPr>
        <w:t xml:space="preserve">We recommend </w:t>
      </w:r>
      <w:r w:rsidR="00842A66">
        <w:rPr>
          <w:rFonts w:cs="Arial"/>
          <w:lang w:val="en-GB"/>
        </w:rPr>
        <w:t>pursuing</w:t>
      </w:r>
      <w:r w:rsidR="00324010">
        <w:rPr>
          <w:rFonts w:cs="Arial"/>
          <w:lang w:val="en-GB"/>
        </w:rPr>
        <w:t xml:space="preserve"> pioneering efforts establishing </w:t>
      </w:r>
      <w:r w:rsidR="00282F1E">
        <w:rPr>
          <w:rFonts w:cs="Arial"/>
          <w:lang w:val="en-GB"/>
        </w:rPr>
        <w:t xml:space="preserve">the GHG intensity of the total portfolio as </w:t>
      </w:r>
      <w:r w:rsidR="00324010">
        <w:rPr>
          <w:rFonts w:cs="Arial"/>
          <w:lang w:val="en-GB"/>
        </w:rPr>
        <w:t xml:space="preserve">first-best </w:t>
      </w:r>
      <w:r w:rsidR="00282F1E">
        <w:rPr>
          <w:rFonts w:cs="Arial"/>
          <w:lang w:val="en-GB"/>
        </w:rPr>
        <w:t>data source to observe trends of declining emissions-intensity</w:t>
      </w:r>
      <w:r w:rsidR="005C3846">
        <w:rPr>
          <w:rFonts w:cs="Arial"/>
          <w:lang w:val="en-GB"/>
        </w:rPr>
        <w:t xml:space="preserve"> (both relative to total commitments outstanding and in absolute terms)</w:t>
      </w:r>
      <w:r w:rsidR="00E44B45">
        <w:rPr>
          <w:rFonts w:cs="Arial"/>
          <w:lang w:val="en-GB"/>
        </w:rPr>
        <w:t xml:space="preserve"> </w:t>
      </w:r>
      <w:r w:rsidR="00282F1E">
        <w:rPr>
          <w:rFonts w:cs="Arial"/>
          <w:lang w:val="en-GB"/>
        </w:rPr>
        <w:t xml:space="preserve">of </w:t>
      </w:r>
      <w:r w:rsidR="00324010">
        <w:rPr>
          <w:rFonts w:cs="Arial"/>
          <w:lang w:val="en-GB"/>
        </w:rPr>
        <w:t>officially supported Dutch export finance.</w:t>
      </w:r>
    </w:p>
    <w:bookmarkEnd w:id="19"/>
    <w:p w14:paraId="22BAA030" w14:textId="77777777" w:rsidR="001274B2" w:rsidRPr="00FC1E5A" w:rsidRDefault="001274B2" w:rsidP="001274B2">
      <w:pPr>
        <w:rPr>
          <w:rFonts w:cs="Arial"/>
          <w:b/>
          <w:bCs/>
          <w:lang w:val="en-GB"/>
        </w:rPr>
      </w:pPr>
      <w:r w:rsidRPr="00FC1E5A">
        <w:rPr>
          <w:rFonts w:cs="Arial"/>
          <w:b/>
          <w:bCs/>
          <w:lang w:val="en-GB"/>
        </w:rPr>
        <w:t xml:space="preserve">Q3.2: How significant is the fossil fuel financing relative to total energy-related portfolio? </w:t>
      </w:r>
      <w:r w:rsidR="001A44A2" w:rsidRPr="001A44A2">
        <w:rPr>
          <w:rFonts w:cs="Arial"/>
          <w:b/>
          <w:bCs/>
          <w:lang w:val="en-GB"/>
        </w:rPr>
        <w:t>(average of new commitments from the last three years where data is available)</w:t>
      </w:r>
    </w:p>
    <w:p w14:paraId="6CA0207C" w14:textId="0FF7EB70" w:rsidR="00D90DDD" w:rsidRDefault="004A0D2E" w:rsidP="001F3075">
      <w:pPr>
        <w:rPr>
          <w:rFonts w:cs="Arial"/>
          <w:lang w:val="en-GB"/>
        </w:rPr>
      </w:pPr>
      <w:r>
        <w:rPr>
          <w:rFonts w:cs="Arial"/>
          <w:lang w:val="en-GB"/>
        </w:rPr>
        <w:t xml:space="preserve">Due to the absence of </w:t>
      </w:r>
      <w:r w:rsidR="0007513B">
        <w:rPr>
          <w:rFonts w:cs="Arial"/>
          <w:lang w:val="en-GB"/>
        </w:rPr>
        <w:t>explicit</w:t>
      </w:r>
      <w:r w:rsidR="00950A8C">
        <w:rPr>
          <w:rFonts w:cs="Arial"/>
          <w:lang w:val="en-GB"/>
        </w:rPr>
        <w:t xml:space="preserve"> </w:t>
      </w:r>
      <w:r>
        <w:rPr>
          <w:rFonts w:cs="Arial"/>
          <w:lang w:val="en-GB"/>
        </w:rPr>
        <w:t xml:space="preserve">data on energy sector finance, </w:t>
      </w:r>
      <w:r w:rsidR="00227BF3">
        <w:rPr>
          <w:rFonts w:cs="Arial"/>
          <w:lang w:val="en-GB"/>
        </w:rPr>
        <w:t>Q3.2</w:t>
      </w:r>
      <w:r w:rsidR="00C816BC">
        <w:rPr>
          <w:rFonts w:cs="Arial"/>
          <w:lang w:val="en-GB"/>
        </w:rPr>
        <w:t xml:space="preserve"> </w:t>
      </w:r>
      <w:r w:rsidR="00E329AA">
        <w:rPr>
          <w:rFonts w:cs="Arial"/>
          <w:lang w:val="en-GB"/>
        </w:rPr>
        <w:t xml:space="preserve">was </w:t>
      </w:r>
      <w:r w:rsidR="0081192A">
        <w:rPr>
          <w:rFonts w:cs="Arial"/>
          <w:lang w:val="en-GB"/>
        </w:rPr>
        <w:t xml:space="preserve">rated with </w:t>
      </w:r>
      <w:r w:rsidR="00D43039">
        <w:rPr>
          <w:rFonts w:cs="Arial"/>
          <w:lang w:val="en-GB"/>
        </w:rPr>
        <w:t>‘</w:t>
      </w:r>
      <w:r w:rsidR="00114BEF">
        <w:rPr>
          <w:rFonts w:cs="Arial"/>
          <w:lang w:val="en-GB"/>
        </w:rPr>
        <w:t>U</w:t>
      </w:r>
      <w:r w:rsidR="0081192A">
        <w:rPr>
          <w:rFonts w:cs="Arial"/>
          <w:lang w:val="en-GB"/>
        </w:rPr>
        <w:t>naligned</w:t>
      </w:r>
      <w:r w:rsidR="00D43039">
        <w:rPr>
          <w:rFonts w:cs="Arial"/>
          <w:lang w:val="en-GB"/>
        </w:rPr>
        <w:t>’</w:t>
      </w:r>
      <w:r w:rsidR="0081192A">
        <w:rPr>
          <w:rFonts w:cs="Arial"/>
          <w:lang w:val="en-GB"/>
        </w:rPr>
        <w:t>.</w:t>
      </w:r>
      <w:r>
        <w:rPr>
          <w:rFonts w:cs="Arial"/>
          <w:lang w:val="en-GB"/>
        </w:rPr>
        <w:t xml:space="preserve"> </w:t>
      </w:r>
      <w:r w:rsidR="00B638EF">
        <w:rPr>
          <w:rFonts w:cs="Arial"/>
          <w:lang w:val="en-GB"/>
        </w:rPr>
        <w:t>Atradius DSB does not</w:t>
      </w:r>
      <w:r w:rsidR="00DA6B0D">
        <w:rPr>
          <w:rFonts w:cs="Arial"/>
          <w:lang w:val="en-GB"/>
        </w:rPr>
        <w:t xml:space="preserve"> operate a comprehensive definition of ‘energy sector finance’</w:t>
      </w:r>
      <w:r w:rsidR="00D072EA">
        <w:rPr>
          <w:rFonts w:cs="Arial"/>
          <w:lang w:val="en-GB"/>
        </w:rPr>
        <w:t xml:space="preserve"> based on which the share</w:t>
      </w:r>
      <w:r w:rsidR="00442BAB">
        <w:rPr>
          <w:rFonts w:cs="Arial"/>
          <w:lang w:val="en-GB"/>
        </w:rPr>
        <w:t xml:space="preserve"> of</w:t>
      </w:r>
      <w:r w:rsidR="00D072EA">
        <w:rPr>
          <w:rFonts w:cs="Arial"/>
          <w:lang w:val="en-GB"/>
        </w:rPr>
        <w:t xml:space="preserve"> fossil fuel-related support</w:t>
      </w:r>
      <w:r w:rsidR="00442BAB">
        <w:rPr>
          <w:rFonts w:cs="Arial"/>
          <w:lang w:val="en-GB"/>
        </w:rPr>
        <w:t xml:space="preserve"> (or clean energy-related support)</w:t>
      </w:r>
      <w:r w:rsidR="00D072EA">
        <w:rPr>
          <w:rFonts w:cs="Arial"/>
          <w:lang w:val="en-GB"/>
        </w:rPr>
        <w:t xml:space="preserve"> to value chains in the energy sector could be dissected</w:t>
      </w:r>
      <w:r w:rsidR="00DA6B0D">
        <w:rPr>
          <w:rFonts w:cs="Arial"/>
          <w:lang w:val="en-GB"/>
        </w:rPr>
        <w:t>.</w:t>
      </w:r>
      <w:r w:rsidR="00433EE5">
        <w:rPr>
          <w:rFonts w:cs="Arial"/>
          <w:lang w:val="en-GB"/>
        </w:rPr>
        <w:t xml:space="preserve"> However, t</w:t>
      </w:r>
      <w:r w:rsidR="008519E7">
        <w:rPr>
          <w:lang w:eastAsia="en-US"/>
        </w:rPr>
        <w:t xml:space="preserve">he total share of fossil fuel-related commitments over total </w:t>
      </w:r>
      <w:r w:rsidR="008519E7">
        <w:t xml:space="preserve">commitments outstanding as of December 31, 2020 was reported with 26% in terms of volume and 17% in terms of number of policies </w:t>
      </w:r>
      <w:r w:rsidR="00FC1131">
        <w:t xml:space="preserve">across all sectors </w:t>
      </w:r>
      <w:r w:rsidR="008519E7">
        <w:rPr>
          <w:rFonts w:cs="Arial"/>
          <w:lang w:val="en-GB"/>
        </w:rPr>
        <w:t xml:space="preserve">(Atradius DSB </w:t>
      </w:r>
      <w:r w:rsidR="008519E7" w:rsidRPr="008B7778">
        <w:rPr>
          <w:lang w:eastAsia="en-US"/>
        </w:rPr>
        <w:t>2021a).</w:t>
      </w:r>
      <w:r w:rsidR="00FC1131" w:rsidRPr="008B7778">
        <w:rPr>
          <w:lang w:eastAsia="en-US"/>
        </w:rPr>
        <w:t xml:space="preserve"> This </w:t>
      </w:r>
      <w:r w:rsidR="00622E90" w:rsidRPr="008B7778">
        <w:rPr>
          <w:lang w:eastAsia="en-US"/>
        </w:rPr>
        <w:t>share</w:t>
      </w:r>
      <w:r w:rsidR="00622E90">
        <w:rPr>
          <w:rFonts w:cs="Arial"/>
          <w:lang w:val="en-GB"/>
        </w:rPr>
        <w:t xml:space="preserve"> </w:t>
      </w:r>
      <w:r w:rsidR="00FC1131" w:rsidRPr="008B7778">
        <w:rPr>
          <w:lang w:eastAsia="en-US"/>
        </w:rPr>
        <w:t>needs to be seen in context with a previous estimate by Both ENDS (2019)</w:t>
      </w:r>
      <w:r w:rsidR="008519E7" w:rsidRPr="008B7778">
        <w:rPr>
          <w:lang w:eastAsia="en-US"/>
        </w:rPr>
        <w:t xml:space="preserve"> </w:t>
      </w:r>
      <w:r w:rsidR="00FC1131" w:rsidRPr="008B7778">
        <w:rPr>
          <w:lang w:eastAsia="en-US"/>
        </w:rPr>
        <w:t>which looked</w:t>
      </w:r>
      <w:r w:rsidR="00FC1131">
        <w:rPr>
          <w:rFonts w:cs="Arial"/>
          <w:lang w:val="en-GB"/>
        </w:rPr>
        <w:t xml:space="preserve"> at the total of 524 transactions insured by </w:t>
      </w:r>
      <w:r w:rsidR="00FC1131">
        <w:rPr>
          <w:rFonts w:cs="Arial"/>
          <w:lang w:val="en-GB"/>
        </w:rPr>
        <w:lastRenderedPageBreak/>
        <w:t xml:space="preserve">Atradius DSB between 2012 and 2018 (corresponding to a maximum insured amount of </w:t>
      </w:r>
      <w:r w:rsidR="007B4AE2">
        <w:rPr>
          <w:rFonts w:cs="Arial"/>
          <w:lang w:val="en-GB"/>
        </w:rPr>
        <w:t xml:space="preserve">EUR </w:t>
      </w:r>
      <w:r w:rsidR="00FC1131">
        <w:rPr>
          <w:rFonts w:cs="Arial"/>
          <w:lang w:val="en-GB"/>
        </w:rPr>
        <w:t xml:space="preserve">17.7 billion) and classified 154 comparatively large transactions in the energy sector (corresponding to a maximum insured amount of </w:t>
      </w:r>
      <w:r w:rsidR="007B4AE2">
        <w:rPr>
          <w:rFonts w:cs="Arial"/>
          <w:lang w:val="en-GB"/>
        </w:rPr>
        <w:t xml:space="preserve">EUR </w:t>
      </w:r>
      <w:r w:rsidR="00FC1131">
        <w:rPr>
          <w:rFonts w:cs="Arial"/>
          <w:lang w:val="en-GB"/>
        </w:rPr>
        <w:t xml:space="preserve">11.1 billion). </w:t>
      </w:r>
      <w:r w:rsidR="00E01B46">
        <w:rPr>
          <w:rFonts w:cs="Arial"/>
          <w:lang w:val="en-GB"/>
        </w:rPr>
        <w:t>The Dutch NGO finds that in that period of time almost all (98%) of these policies are related to fossil fuel value chains, which corresponds to 36 times more financial support than provided for clean energy projects. Next to transactions related to fossil fuel</w:t>
      </w:r>
      <w:r w:rsidR="00227D00">
        <w:rPr>
          <w:rFonts w:cs="Arial"/>
          <w:lang w:val="en-GB"/>
        </w:rPr>
        <w:t xml:space="preserve"> </w:t>
      </w:r>
      <w:r w:rsidR="00E01B46">
        <w:rPr>
          <w:rFonts w:cs="Arial"/>
          <w:lang w:val="en-GB"/>
        </w:rPr>
        <w:t>value chains, the NGO also classified projects that indirectly service the fossil fuel industry as ‘fossil’, such as the delivery of a dredger used in the first place to construct a harbour, which among other things, services the oil and gas industry. According to this approach, the estimated share of projects classified as ‘fossil’ compared to the total volume committed to over this period is 61.46% and thus more than twice as much as the 26% reported by Atradius DSB (2021a) and Government of the Netherlands (2021b) for commitments outstanding by the end of 2020. Certainly, the two measurement methodologies qualitatively differ. Moreover, there is a two-year gap between the data coverage. Yet we deem it as unlikely that within two years this share has dropped thus significantly or that outstanding commitments predating 2012 were comparatively less associated with fossil fuel value chains. While the problematic of measuring ‘indirect’ support for fossil fuel value chains is acknowledged in the methodology (</w:t>
      </w:r>
      <w:r w:rsidR="00E01B46" w:rsidRPr="00044770">
        <w:rPr>
          <w:rFonts w:cs="Arial"/>
          <w:lang w:val="en-GB"/>
        </w:rPr>
        <w:t>Government of the Netherlands 2021c)</w:t>
      </w:r>
      <w:r w:rsidR="00E01B46">
        <w:rPr>
          <w:rFonts w:cs="Arial"/>
          <w:lang w:val="en-GB"/>
        </w:rPr>
        <w:t>, it remains unclear and no</w:t>
      </w:r>
      <w:r w:rsidR="0067563A">
        <w:rPr>
          <w:rFonts w:cs="Arial"/>
          <w:lang w:val="en-GB"/>
        </w:rPr>
        <w:t>n</w:t>
      </w:r>
      <w:r w:rsidR="00C5145C">
        <w:rPr>
          <w:rFonts w:cs="Arial"/>
          <w:lang w:val="en-GB"/>
        </w:rPr>
        <w:t>-</w:t>
      </w:r>
      <w:r w:rsidR="00E01B46">
        <w:rPr>
          <w:rFonts w:cs="Arial"/>
          <w:lang w:val="en-GB"/>
        </w:rPr>
        <w:t>verifiable how this was dealt with this on a case-by-case basis</w:t>
      </w:r>
      <w:r w:rsidR="00FB520D">
        <w:rPr>
          <w:rFonts w:cs="Arial"/>
          <w:lang w:val="en-GB"/>
        </w:rPr>
        <w:t xml:space="preserve"> </w:t>
      </w:r>
      <w:r w:rsidR="00297F70">
        <w:rPr>
          <w:rFonts w:cs="Arial"/>
          <w:lang w:val="en-GB"/>
        </w:rPr>
        <w:t>in</w:t>
      </w:r>
      <w:r w:rsidR="00FB520D">
        <w:rPr>
          <w:rFonts w:cs="Arial"/>
          <w:lang w:val="en-GB"/>
        </w:rPr>
        <w:t xml:space="preserve"> the official estimate</w:t>
      </w:r>
      <w:r w:rsidR="00E01B46">
        <w:rPr>
          <w:rFonts w:cs="Arial"/>
          <w:lang w:val="en-GB"/>
        </w:rPr>
        <w:t xml:space="preserve">. </w:t>
      </w:r>
    </w:p>
    <w:p w14:paraId="560B2716" w14:textId="77777777" w:rsidR="009F4B4C" w:rsidRDefault="00E01B46" w:rsidP="001F3075">
      <w:pPr>
        <w:rPr>
          <w:rFonts w:cs="Arial"/>
          <w:lang w:val="en-GB"/>
        </w:rPr>
      </w:pPr>
      <w:r>
        <w:rPr>
          <w:rFonts w:cs="Arial"/>
          <w:lang w:val="en-GB"/>
        </w:rPr>
        <w:t xml:space="preserve">We recommend </w:t>
      </w:r>
      <w:r w:rsidR="00351C12">
        <w:rPr>
          <w:rFonts w:cs="Arial"/>
          <w:lang w:val="en-GB"/>
        </w:rPr>
        <w:t xml:space="preserve">to separately disclose financial information </w:t>
      </w:r>
      <w:r w:rsidR="00644D23">
        <w:rPr>
          <w:rFonts w:cs="Arial"/>
          <w:lang w:val="en-GB"/>
        </w:rPr>
        <w:t>of</w:t>
      </w:r>
      <w:r w:rsidR="00351C12">
        <w:rPr>
          <w:rFonts w:cs="Arial"/>
          <w:lang w:val="en-GB"/>
        </w:rPr>
        <w:t xml:space="preserve"> </w:t>
      </w:r>
      <w:r w:rsidR="00F121A2">
        <w:rPr>
          <w:rFonts w:cs="Arial"/>
          <w:lang w:val="en-GB"/>
        </w:rPr>
        <w:t>commitments outstanding</w:t>
      </w:r>
      <w:r w:rsidR="004E3221">
        <w:rPr>
          <w:rFonts w:cs="Arial"/>
          <w:lang w:val="en-GB"/>
        </w:rPr>
        <w:t xml:space="preserve"> (both project stock and flow)</w:t>
      </w:r>
      <w:r w:rsidR="00F121A2">
        <w:rPr>
          <w:rFonts w:cs="Arial"/>
          <w:lang w:val="en-GB"/>
        </w:rPr>
        <w:t xml:space="preserve"> in </w:t>
      </w:r>
      <w:r w:rsidR="00351C12">
        <w:rPr>
          <w:rFonts w:cs="Arial"/>
          <w:lang w:val="en-GB"/>
        </w:rPr>
        <w:t>energy</w:t>
      </w:r>
      <w:r w:rsidR="00F96C5E">
        <w:rPr>
          <w:rFonts w:cs="Arial"/>
          <w:lang w:val="en-GB"/>
        </w:rPr>
        <w:t xml:space="preserve">-related value chains </w:t>
      </w:r>
      <w:r w:rsidR="002F6D46">
        <w:rPr>
          <w:rFonts w:cs="Arial"/>
          <w:lang w:val="en-GB"/>
        </w:rPr>
        <w:t xml:space="preserve">and </w:t>
      </w:r>
      <w:r>
        <w:rPr>
          <w:rFonts w:cs="Arial"/>
          <w:lang w:val="en-GB"/>
        </w:rPr>
        <w:t>provide clarity on the</w:t>
      </w:r>
      <w:r w:rsidR="002F6D46">
        <w:rPr>
          <w:rFonts w:cs="Arial"/>
          <w:lang w:val="en-GB"/>
        </w:rPr>
        <w:t xml:space="preserve"> above discussed </w:t>
      </w:r>
      <w:r>
        <w:rPr>
          <w:rFonts w:cs="Arial"/>
          <w:lang w:val="en-GB"/>
        </w:rPr>
        <w:t>details in future revisions</w:t>
      </w:r>
      <w:r w:rsidR="002F6D46">
        <w:rPr>
          <w:rFonts w:cs="Arial"/>
          <w:lang w:val="en-GB"/>
        </w:rPr>
        <w:t xml:space="preserve"> of the fossil fuel measurement methodology</w:t>
      </w:r>
      <w:r>
        <w:rPr>
          <w:rFonts w:cs="Arial"/>
          <w:lang w:val="en-GB"/>
        </w:rPr>
        <w:t xml:space="preserve">. </w:t>
      </w:r>
      <w:r w:rsidR="005C4D09">
        <w:rPr>
          <w:rFonts w:cs="Arial"/>
          <w:lang w:val="en-GB"/>
        </w:rPr>
        <w:t>More</w:t>
      </w:r>
      <w:r w:rsidR="00BA6F64">
        <w:rPr>
          <w:rFonts w:cs="Arial"/>
          <w:lang w:val="en-GB"/>
        </w:rPr>
        <w:t xml:space="preserve"> specifically</w:t>
      </w:r>
      <w:r w:rsidR="005C4D09">
        <w:rPr>
          <w:rFonts w:cs="Arial"/>
          <w:lang w:val="en-GB"/>
        </w:rPr>
        <w:t xml:space="preserve">, we suggest defining the energy sector </w:t>
      </w:r>
      <w:r w:rsidR="00613AFB">
        <w:rPr>
          <w:rFonts w:cs="Arial"/>
          <w:lang w:val="en-GB"/>
        </w:rPr>
        <w:t xml:space="preserve">based on </w:t>
      </w:r>
      <w:r w:rsidR="009F4B4C" w:rsidRPr="009F4B4C">
        <w:rPr>
          <w:rFonts w:cs="Arial"/>
          <w:lang w:val="en-GB"/>
        </w:rPr>
        <w:t>a value chain approach distinguishing into (</w:t>
      </w:r>
      <w:proofErr w:type="spellStart"/>
      <w:r w:rsidR="009F4B4C" w:rsidRPr="009F4B4C">
        <w:rPr>
          <w:rFonts w:cs="Arial"/>
          <w:lang w:val="en-GB"/>
        </w:rPr>
        <w:t>i</w:t>
      </w:r>
      <w:proofErr w:type="spellEnd"/>
      <w:r w:rsidR="009F4B4C" w:rsidRPr="009F4B4C">
        <w:rPr>
          <w:rFonts w:cs="Arial"/>
          <w:lang w:val="en-GB"/>
        </w:rPr>
        <w:t>) fossil fuel-related value chains; (ii) clean</w:t>
      </w:r>
      <w:r w:rsidR="00CA213B">
        <w:rPr>
          <w:rFonts w:cs="Arial"/>
          <w:lang w:val="en-GB"/>
        </w:rPr>
        <w:t xml:space="preserve"> (or more narrowly, renewable) </w:t>
      </w:r>
      <w:r w:rsidR="009F4B4C" w:rsidRPr="009F4B4C">
        <w:rPr>
          <w:rFonts w:cs="Arial"/>
          <w:lang w:val="en-GB"/>
        </w:rPr>
        <w:t>energy-related value chains; and (iii) other primary energy sources (e.g., such as nuclear).</w:t>
      </w:r>
      <w:r w:rsidR="008B5CED">
        <w:rPr>
          <w:rFonts w:cs="Arial"/>
          <w:lang w:val="en-GB"/>
        </w:rPr>
        <w:t xml:space="preserve"> </w:t>
      </w:r>
      <w:r w:rsidR="008B5CED" w:rsidRPr="008B5CED">
        <w:rPr>
          <w:rFonts w:cs="Arial"/>
          <w:lang w:val="en-GB"/>
        </w:rPr>
        <w:t>Relevant types of fuels</w:t>
      </w:r>
      <w:r w:rsidR="000D3208">
        <w:rPr>
          <w:rFonts w:cs="Arial"/>
          <w:lang w:val="en-GB"/>
        </w:rPr>
        <w:t xml:space="preserve"> used to generate </w:t>
      </w:r>
      <w:r w:rsidR="000D3208" w:rsidRPr="000D3208">
        <w:rPr>
          <w:rFonts w:cs="Arial"/>
          <w:lang w:val="en-GB"/>
        </w:rPr>
        <w:t>total primary energy supply (TPES)</w:t>
      </w:r>
      <w:r w:rsidR="008B5CED" w:rsidRPr="008B5CED">
        <w:rPr>
          <w:rFonts w:cs="Arial"/>
          <w:lang w:val="en-GB"/>
        </w:rPr>
        <w:t xml:space="preserve"> </w:t>
      </w:r>
      <w:r w:rsidR="00A54C38">
        <w:rPr>
          <w:rFonts w:cs="Arial"/>
          <w:lang w:val="en-GB"/>
        </w:rPr>
        <w:t xml:space="preserve">and related value chains </w:t>
      </w:r>
      <w:r w:rsidR="008B5CED" w:rsidRPr="008B5CED">
        <w:rPr>
          <w:rFonts w:cs="Arial"/>
          <w:lang w:val="en-GB"/>
        </w:rPr>
        <w:t xml:space="preserve">should be </w:t>
      </w:r>
      <w:r w:rsidR="00453859">
        <w:rPr>
          <w:rFonts w:cs="Arial"/>
          <w:lang w:val="en-GB"/>
        </w:rPr>
        <w:t>from standard setting</w:t>
      </w:r>
      <w:r w:rsidR="008B5CED" w:rsidRPr="008B5CED">
        <w:rPr>
          <w:rFonts w:cs="Arial"/>
          <w:lang w:val="en-GB"/>
        </w:rPr>
        <w:t xml:space="preserve"> </w:t>
      </w:r>
      <w:r w:rsidR="00453859">
        <w:rPr>
          <w:rFonts w:cs="Arial"/>
          <w:lang w:val="en-GB"/>
        </w:rPr>
        <w:t xml:space="preserve">authorities, e.g., </w:t>
      </w:r>
      <w:r w:rsidR="008B5CED" w:rsidRPr="008B5CED">
        <w:rPr>
          <w:rFonts w:cs="Arial"/>
          <w:lang w:val="en-GB"/>
        </w:rPr>
        <w:t xml:space="preserve">the International Energy Agency and the OECD (e.g., </w:t>
      </w:r>
      <w:r w:rsidR="00D63B22">
        <w:rPr>
          <w:rFonts w:cs="Arial"/>
          <w:lang w:val="en-GB"/>
        </w:rPr>
        <w:t xml:space="preserve">IEA 2020 and </w:t>
      </w:r>
      <w:r w:rsidR="008B5CED" w:rsidRPr="008B5CED">
        <w:rPr>
          <w:rFonts w:cs="Arial"/>
          <w:lang w:val="en-GB"/>
        </w:rPr>
        <w:t>OECD 2021</w:t>
      </w:r>
      <w:r w:rsidR="005A0FB1">
        <w:rPr>
          <w:rFonts w:cs="Arial"/>
          <w:lang w:val="en-GB"/>
        </w:rPr>
        <w:t>b</w:t>
      </w:r>
      <w:r w:rsidR="005A6099">
        <w:rPr>
          <w:rFonts w:cs="Arial"/>
          <w:lang w:val="en-GB"/>
        </w:rPr>
        <w:t>)</w:t>
      </w:r>
      <w:r w:rsidR="008B5CED" w:rsidRPr="008B5CED">
        <w:rPr>
          <w:rFonts w:cs="Arial"/>
          <w:lang w:val="en-GB"/>
        </w:rPr>
        <w:t>.</w:t>
      </w:r>
    </w:p>
    <w:p w14:paraId="04E76285" w14:textId="77777777" w:rsidR="001274B2" w:rsidRPr="00FC1E5A" w:rsidRDefault="001274B2" w:rsidP="001274B2">
      <w:pPr>
        <w:rPr>
          <w:rFonts w:cs="Arial"/>
          <w:b/>
          <w:bCs/>
          <w:lang w:val="en-GB"/>
        </w:rPr>
      </w:pPr>
      <w:r w:rsidRPr="00FC1E5A">
        <w:rPr>
          <w:rFonts w:cs="Arial"/>
          <w:b/>
          <w:bCs/>
          <w:lang w:val="en-GB"/>
        </w:rPr>
        <w:t xml:space="preserve">Q3.3: To what extent do all emission-relevant sectors have targeted GHG reduction targets and in how far are GHG reduction targets in line with benchmarks of acceptable 1.5°C pathways? </w:t>
      </w:r>
    </w:p>
    <w:p w14:paraId="3BBB2E88" w14:textId="77777777" w:rsidR="00D90DDD" w:rsidRDefault="008441C1" w:rsidP="001274B2">
      <w:pPr>
        <w:rPr>
          <w:rFonts w:cs="Arial"/>
          <w:lang w:val="en-GB"/>
        </w:rPr>
      </w:pPr>
      <w:r>
        <w:rPr>
          <w:rFonts w:cs="Arial"/>
          <w:lang w:val="en-GB"/>
        </w:rPr>
        <w:t>Q3.3</w:t>
      </w:r>
      <w:r w:rsidR="00C816BC">
        <w:rPr>
          <w:rFonts w:cs="Arial"/>
          <w:lang w:val="en-GB"/>
        </w:rPr>
        <w:t xml:space="preserve"> </w:t>
      </w:r>
      <w:r w:rsidR="00213C15">
        <w:rPr>
          <w:rFonts w:cs="Arial"/>
          <w:lang w:val="en-GB"/>
        </w:rPr>
        <w:t xml:space="preserve">was </w:t>
      </w:r>
      <w:r w:rsidR="00F8632B">
        <w:rPr>
          <w:rFonts w:cs="Arial"/>
          <w:lang w:val="en-GB"/>
        </w:rPr>
        <w:t xml:space="preserve">rated with </w:t>
      </w:r>
      <w:r w:rsidR="00DB1842" w:rsidRPr="00FC1E5A">
        <w:rPr>
          <w:rFonts w:cs="Arial"/>
          <w:lang w:val="en-GB"/>
        </w:rPr>
        <w:t>‘</w:t>
      </w:r>
      <w:r w:rsidR="00114BEF">
        <w:rPr>
          <w:rFonts w:cs="Arial"/>
          <w:lang w:val="en-GB"/>
        </w:rPr>
        <w:t>U</w:t>
      </w:r>
      <w:r w:rsidR="00DB1842" w:rsidRPr="00FC1E5A">
        <w:rPr>
          <w:rFonts w:cs="Arial"/>
          <w:lang w:val="en-GB"/>
        </w:rPr>
        <w:t>naligned’</w:t>
      </w:r>
      <w:r w:rsidR="006E4AAD">
        <w:rPr>
          <w:rFonts w:cs="Arial"/>
          <w:lang w:val="en-GB"/>
        </w:rPr>
        <w:t xml:space="preserve"> </w:t>
      </w:r>
      <w:r>
        <w:rPr>
          <w:rFonts w:cs="Arial"/>
          <w:lang w:val="en-GB"/>
        </w:rPr>
        <w:t xml:space="preserve">as </w:t>
      </w:r>
      <w:r w:rsidR="00CA4A19">
        <w:rPr>
          <w:rFonts w:cs="Arial"/>
          <w:lang w:val="en-GB"/>
        </w:rPr>
        <w:t xml:space="preserve">the Dutch government does not </w:t>
      </w:r>
      <w:r w:rsidR="00424C8F">
        <w:rPr>
          <w:rFonts w:cs="Arial"/>
          <w:lang w:val="en-GB"/>
        </w:rPr>
        <w:t>instruct its ECA to formulate GHG reduction targets</w:t>
      </w:r>
      <w:r w:rsidR="00351A89">
        <w:rPr>
          <w:rFonts w:cs="Arial"/>
          <w:lang w:val="en-GB"/>
        </w:rPr>
        <w:t xml:space="preserve"> in relevant sectors</w:t>
      </w:r>
      <w:r w:rsidR="00CB635B">
        <w:rPr>
          <w:rFonts w:cs="Arial"/>
          <w:lang w:val="en-GB"/>
        </w:rPr>
        <w:t xml:space="preserve"> in line with </w:t>
      </w:r>
      <w:r w:rsidR="009A27D0">
        <w:rPr>
          <w:rFonts w:cs="Arial"/>
          <w:lang w:val="en-GB"/>
        </w:rPr>
        <w:t xml:space="preserve">global warming trajectories still permitting higher chances to safely achieve 1.5°C </w:t>
      </w:r>
      <w:bookmarkStart w:id="20" w:name="_Hlk83138352"/>
      <w:r w:rsidR="009A27D0">
        <w:rPr>
          <w:rFonts w:cs="Arial"/>
          <w:lang w:val="en-GB"/>
        </w:rPr>
        <w:t>warming compared to pre-industrial levels</w:t>
      </w:r>
      <w:bookmarkEnd w:id="20"/>
      <w:r w:rsidR="009A27D0">
        <w:rPr>
          <w:rFonts w:cs="Arial"/>
          <w:lang w:val="en-GB"/>
        </w:rPr>
        <w:t xml:space="preserve">, such as the IEA (2021) Net Zero pathway or the IPCC (2018) P1 illustrative scenarios. </w:t>
      </w:r>
      <w:r w:rsidR="00351A89">
        <w:rPr>
          <w:rFonts w:cs="Arial"/>
          <w:lang w:val="en-GB"/>
        </w:rPr>
        <w:t xml:space="preserve">Such an instruction would imply the need </w:t>
      </w:r>
      <w:r w:rsidR="00627FD7">
        <w:rPr>
          <w:rFonts w:cs="Arial"/>
          <w:lang w:val="en-GB"/>
        </w:rPr>
        <w:t xml:space="preserve">to </w:t>
      </w:r>
      <w:r w:rsidR="00E539FF">
        <w:rPr>
          <w:rFonts w:cs="Arial"/>
          <w:lang w:val="en-GB"/>
        </w:rPr>
        <w:t>undertake</w:t>
      </w:r>
      <w:r w:rsidR="00566B98">
        <w:rPr>
          <w:rFonts w:cs="Arial"/>
          <w:lang w:val="en-GB"/>
        </w:rPr>
        <w:t xml:space="preserve"> the </w:t>
      </w:r>
      <w:r w:rsidR="00EF4478">
        <w:rPr>
          <w:rFonts w:cs="Arial"/>
          <w:lang w:val="en-GB"/>
        </w:rPr>
        <w:t>above-</w:t>
      </w:r>
      <w:r w:rsidR="00566B98">
        <w:rPr>
          <w:rFonts w:cs="Arial"/>
          <w:lang w:val="en-GB"/>
        </w:rPr>
        <w:t>mentioned</w:t>
      </w:r>
      <w:r w:rsidR="00E539FF">
        <w:rPr>
          <w:rFonts w:cs="Arial"/>
          <w:lang w:val="en-GB"/>
        </w:rPr>
        <w:t xml:space="preserve"> efforts to better understand, </w:t>
      </w:r>
      <w:r w:rsidR="00627FD7">
        <w:rPr>
          <w:rFonts w:cs="Arial"/>
          <w:lang w:val="en-GB"/>
        </w:rPr>
        <w:t xml:space="preserve">measure and attribute </w:t>
      </w:r>
      <w:r w:rsidR="00F31591">
        <w:rPr>
          <w:rFonts w:cs="Arial"/>
          <w:lang w:val="en-GB"/>
        </w:rPr>
        <w:t xml:space="preserve">incurred </w:t>
      </w:r>
      <w:r w:rsidR="00627FD7">
        <w:rPr>
          <w:rFonts w:cs="Arial"/>
          <w:lang w:val="en-GB"/>
        </w:rPr>
        <w:t xml:space="preserve">emissions </w:t>
      </w:r>
      <w:r w:rsidR="00F31591">
        <w:rPr>
          <w:rFonts w:cs="Arial"/>
          <w:lang w:val="en-GB"/>
        </w:rPr>
        <w:t xml:space="preserve">among all </w:t>
      </w:r>
      <w:r w:rsidR="00FF4874">
        <w:rPr>
          <w:rFonts w:cs="Arial"/>
          <w:lang w:val="en-GB"/>
        </w:rPr>
        <w:t>transaction participants.</w:t>
      </w:r>
      <w:r w:rsidR="00566B98">
        <w:rPr>
          <w:rFonts w:cs="Arial"/>
          <w:lang w:val="en-GB"/>
        </w:rPr>
        <w:t xml:space="preserve"> </w:t>
      </w:r>
    </w:p>
    <w:p w14:paraId="16F4E350" w14:textId="77777777" w:rsidR="00A051BC" w:rsidRDefault="00566B98" w:rsidP="001274B2">
      <w:pPr>
        <w:rPr>
          <w:rFonts w:cs="Arial"/>
          <w:lang w:val="en-GB"/>
        </w:rPr>
      </w:pPr>
      <w:r>
        <w:rPr>
          <w:rFonts w:cs="Arial"/>
          <w:lang w:val="en-GB"/>
        </w:rPr>
        <w:t xml:space="preserve">We recommend </w:t>
      </w:r>
      <w:r w:rsidR="005F4EB6">
        <w:rPr>
          <w:rFonts w:cs="Arial"/>
          <w:lang w:val="en-GB"/>
        </w:rPr>
        <w:t xml:space="preserve">that Atradius DSB starts by </w:t>
      </w:r>
      <w:r w:rsidR="007D441E">
        <w:rPr>
          <w:rFonts w:cs="Arial"/>
          <w:lang w:val="en-GB"/>
        </w:rPr>
        <w:t>ceasing to provide support to incontrovertibly emissions-intensive or -enabling sectors in the first place (i.e., fossil fuel-related), and develops GHG reduction targets</w:t>
      </w:r>
      <w:r w:rsidR="00DD1A25">
        <w:rPr>
          <w:rFonts w:cs="Arial"/>
          <w:lang w:val="en-GB"/>
        </w:rPr>
        <w:t xml:space="preserve"> for other</w:t>
      </w:r>
      <w:r w:rsidR="007D441E">
        <w:rPr>
          <w:rFonts w:cs="Arial"/>
          <w:lang w:val="en-GB"/>
        </w:rPr>
        <w:t xml:space="preserve"> </w:t>
      </w:r>
      <w:r w:rsidR="007D52F6">
        <w:rPr>
          <w:rFonts w:cs="Arial"/>
          <w:lang w:val="en-GB"/>
        </w:rPr>
        <w:t xml:space="preserve">– especially carbon intensive – </w:t>
      </w:r>
      <w:r w:rsidR="00DD1A25">
        <w:rPr>
          <w:rFonts w:cs="Arial"/>
          <w:lang w:val="en-GB"/>
        </w:rPr>
        <w:t xml:space="preserve">sectors </w:t>
      </w:r>
      <w:r w:rsidR="00C22FCE">
        <w:rPr>
          <w:rFonts w:cs="Arial"/>
          <w:lang w:val="en-GB"/>
        </w:rPr>
        <w:t>in a second step.</w:t>
      </w:r>
      <w:r w:rsidR="00DD1A25">
        <w:rPr>
          <w:rFonts w:cs="Arial"/>
          <w:lang w:val="en-GB"/>
        </w:rPr>
        <w:t xml:space="preserve"> Furthermore, we recommend to design 1.5°C scenarios for Atradius DSB on a conservative </w:t>
      </w:r>
      <w:r w:rsidR="009F2B7C">
        <w:rPr>
          <w:rFonts w:cs="Arial"/>
          <w:lang w:val="en-GB"/>
        </w:rPr>
        <w:t xml:space="preserve">and precautionary </w:t>
      </w:r>
      <w:r w:rsidR="00DD1A25">
        <w:rPr>
          <w:rFonts w:cs="Arial"/>
          <w:lang w:val="en-GB"/>
        </w:rPr>
        <w:t>basis</w:t>
      </w:r>
      <w:r w:rsidR="009F2B7C">
        <w:rPr>
          <w:rFonts w:cs="Arial"/>
          <w:lang w:val="en-GB"/>
        </w:rPr>
        <w:t xml:space="preserve">. On a sector-agnostic level this means that only the IPCC P1 illustrative pathways should be used as reference scenario or </w:t>
      </w:r>
      <w:r w:rsidR="00C54F2C">
        <w:rPr>
          <w:rFonts w:cs="Arial"/>
          <w:lang w:val="en-GB"/>
        </w:rPr>
        <w:t xml:space="preserve">the IEA (2021) </w:t>
      </w:r>
      <w:r w:rsidR="00EA16E0">
        <w:rPr>
          <w:rFonts w:cs="Arial"/>
          <w:lang w:val="en-GB"/>
        </w:rPr>
        <w:t>Net Zero pathway</w:t>
      </w:r>
      <w:r w:rsidR="003B4267">
        <w:rPr>
          <w:rFonts w:cs="Arial"/>
          <w:lang w:val="en-GB"/>
        </w:rPr>
        <w:t>.</w:t>
      </w:r>
      <w:r w:rsidR="006F072C">
        <w:rPr>
          <w:rFonts w:cs="Arial"/>
          <w:lang w:val="en-GB"/>
        </w:rPr>
        <w:t xml:space="preserve"> </w:t>
      </w:r>
      <w:r w:rsidR="00A051BC">
        <w:rPr>
          <w:rFonts w:cs="Arial"/>
          <w:lang w:val="en-GB"/>
        </w:rPr>
        <w:t xml:space="preserve">We recommend the </w:t>
      </w:r>
      <w:r w:rsidR="006F072C">
        <w:rPr>
          <w:rFonts w:cs="Arial"/>
          <w:lang w:val="en-GB"/>
        </w:rPr>
        <w:t xml:space="preserve">ECA </w:t>
      </w:r>
      <w:r w:rsidR="00A051BC">
        <w:rPr>
          <w:rFonts w:cs="Arial"/>
          <w:lang w:val="en-GB"/>
        </w:rPr>
        <w:t xml:space="preserve">to </w:t>
      </w:r>
      <w:r w:rsidR="006F072C">
        <w:rPr>
          <w:rFonts w:cs="Arial"/>
          <w:lang w:val="en-GB"/>
        </w:rPr>
        <w:t xml:space="preserve">furthermore engage with the </w:t>
      </w:r>
      <w:r w:rsidR="006F072C">
        <w:rPr>
          <w:rFonts w:cs="Arial"/>
          <w:lang w:val="en-GB"/>
        </w:rPr>
        <w:lastRenderedPageBreak/>
        <w:t xml:space="preserve">Science-Based Targets initiative (SBTi) and set </w:t>
      </w:r>
      <w:r w:rsidR="00CF7D3C">
        <w:rPr>
          <w:rFonts w:cs="Arial"/>
          <w:lang w:val="en-GB"/>
        </w:rPr>
        <w:t>specific sectoral GHG reduction targets</w:t>
      </w:r>
      <w:r w:rsidR="00A051BC">
        <w:rPr>
          <w:rFonts w:cs="Arial"/>
          <w:lang w:val="en-GB"/>
        </w:rPr>
        <w:t xml:space="preserve"> for its portfolio </w:t>
      </w:r>
      <w:r w:rsidR="00F413A6">
        <w:rPr>
          <w:rFonts w:cs="Arial"/>
          <w:lang w:val="en-GB"/>
        </w:rPr>
        <w:t>as well as incentivize setting SBTs for Dutch exporters.</w:t>
      </w:r>
    </w:p>
    <w:p w14:paraId="4BC1279D" w14:textId="77777777" w:rsidR="001274B2" w:rsidRPr="00FC1E5A" w:rsidRDefault="00C940CB" w:rsidP="001274B2">
      <w:pPr>
        <w:pStyle w:val="berschrift2"/>
        <w:rPr>
          <w:rFonts w:ascii="Arial" w:hAnsi="Arial"/>
        </w:rPr>
      </w:pPr>
      <w:bookmarkStart w:id="21" w:name="_Toc84520031"/>
      <w:bookmarkStart w:id="22" w:name="_Ref81927774"/>
      <w:r>
        <w:rPr>
          <w:rFonts w:ascii="Arial" w:hAnsi="Arial"/>
        </w:rPr>
        <w:t xml:space="preserve">Dimension </w:t>
      </w:r>
      <w:r w:rsidR="001274B2" w:rsidRPr="00FC1E5A">
        <w:rPr>
          <w:rFonts w:ascii="Arial" w:hAnsi="Arial"/>
        </w:rPr>
        <w:t xml:space="preserve">4: </w:t>
      </w:r>
      <w:r w:rsidR="00B57AA2" w:rsidRPr="00FC1E5A">
        <w:rPr>
          <w:rFonts w:ascii="Arial" w:hAnsi="Arial"/>
        </w:rPr>
        <w:t xml:space="preserve">Climate finance: </w:t>
      </w:r>
      <w:r w:rsidR="00FA3A79">
        <w:rPr>
          <w:rFonts w:ascii="Arial" w:hAnsi="Arial"/>
        </w:rPr>
        <w:t>Positive contribution to the global climate transition</w:t>
      </w:r>
      <w:bookmarkEnd w:id="21"/>
      <w:r w:rsidR="002462AD" w:rsidRPr="002462AD" w:rsidDel="002462AD">
        <w:rPr>
          <w:rFonts w:ascii="Arial" w:hAnsi="Arial"/>
        </w:rPr>
        <w:t xml:space="preserve"> </w:t>
      </w:r>
      <w:bookmarkEnd w:id="22"/>
    </w:p>
    <w:p w14:paraId="4C198AAD" w14:textId="573CFEA4" w:rsidR="001274B2" w:rsidRPr="00FC1E5A" w:rsidRDefault="00575DD5" w:rsidP="001274B2">
      <w:pPr>
        <w:rPr>
          <w:rFonts w:cs="Arial"/>
          <w:lang w:val="en-GB"/>
        </w:rPr>
      </w:pPr>
      <w:r>
        <w:rPr>
          <w:rFonts w:cs="Arial"/>
          <w:lang w:val="en-GB"/>
        </w:rPr>
        <w:t>The fourth assessment d</w:t>
      </w:r>
      <w:r w:rsidR="00257371">
        <w:rPr>
          <w:rFonts w:cs="Arial"/>
          <w:lang w:val="en-GB"/>
        </w:rPr>
        <w:t>imension</w:t>
      </w:r>
      <w:r w:rsidR="001274B2" w:rsidRPr="00FC1E5A">
        <w:rPr>
          <w:rFonts w:cs="Arial"/>
          <w:lang w:val="en-GB"/>
        </w:rPr>
        <w:t xml:space="preserve"> is underpinned by </w:t>
      </w:r>
      <w:r w:rsidR="001274B2" w:rsidRPr="007D6C07">
        <w:rPr>
          <w:rFonts w:cs="Arial"/>
          <w:lang w:val="en-GB"/>
        </w:rPr>
        <w:t>five key questions</w:t>
      </w:r>
      <w:r w:rsidR="001274B2" w:rsidRPr="00FC1E5A">
        <w:rPr>
          <w:rFonts w:cs="Arial"/>
          <w:lang w:val="en-GB"/>
        </w:rPr>
        <w:t xml:space="preserve"> regarding an ECA’s contribution to </w:t>
      </w:r>
      <w:r w:rsidR="00FA38AC">
        <w:rPr>
          <w:rFonts w:cs="Arial"/>
          <w:lang w:val="en-GB"/>
        </w:rPr>
        <w:t xml:space="preserve">a just </w:t>
      </w:r>
      <w:r w:rsidR="00B57AA2" w:rsidRPr="00FC1E5A">
        <w:rPr>
          <w:rFonts w:cs="Arial"/>
          <w:lang w:val="en-GB"/>
        </w:rPr>
        <w:t xml:space="preserve">climate </w:t>
      </w:r>
      <w:r w:rsidR="00FA38AC">
        <w:rPr>
          <w:rFonts w:cs="Arial"/>
          <w:lang w:val="en-GB"/>
        </w:rPr>
        <w:t xml:space="preserve">transition </w:t>
      </w:r>
      <w:r w:rsidR="00B57AA2" w:rsidRPr="00FC1E5A">
        <w:rPr>
          <w:rFonts w:cs="Arial"/>
          <w:lang w:val="en-GB"/>
        </w:rPr>
        <w:t>and sustainable development</w:t>
      </w:r>
      <w:r w:rsidR="001274B2" w:rsidRPr="00FC1E5A">
        <w:rPr>
          <w:rFonts w:cs="Arial"/>
          <w:lang w:val="en-GB"/>
        </w:rPr>
        <w:t xml:space="preserve">. Rapidly ramping up and improving climate finance is crucial to achieve the objectives of the Paris Agreement and contribute to a green and just post-COVID recovery. </w:t>
      </w:r>
      <w:r w:rsidR="00D73D87">
        <w:rPr>
          <w:rFonts w:cs="Arial"/>
          <w:lang w:val="en-GB"/>
        </w:rPr>
        <w:t xml:space="preserve">If ECAs </w:t>
      </w:r>
      <w:r w:rsidR="00AB7B79">
        <w:rPr>
          <w:rFonts w:cs="Arial"/>
          <w:lang w:val="en-GB"/>
        </w:rPr>
        <w:t xml:space="preserve">shifted their support from fossil fuel to clean energy activities, </w:t>
      </w:r>
      <w:r w:rsidR="00D73D87">
        <w:rPr>
          <w:rFonts w:cs="Arial"/>
          <w:lang w:val="en-GB"/>
        </w:rPr>
        <w:t xml:space="preserve">their contribution to green finance could be </w:t>
      </w:r>
      <w:r w:rsidR="006123C9">
        <w:rPr>
          <w:rFonts w:cs="Arial"/>
          <w:lang w:val="en-GB"/>
        </w:rPr>
        <w:t>“</w:t>
      </w:r>
      <w:r w:rsidR="001274B2" w:rsidRPr="00FC1E5A">
        <w:rPr>
          <w:rFonts w:cs="Arial"/>
          <w:i/>
          <w:iCs/>
          <w:lang w:val="en-GB"/>
        </w:rPr>
        <w:t>very substantial"</w:t>
      </w:r>
      <w:r w:rsidR="00D73D87">
        <w:rPr>
          <w:rFonts w:cs="Arial"/>
          <w:iCs/>
          <w:lang w:val="en-GB"/>
        </w:rPr>
        <w:t xml:space="preserve"> according to the independent expert group on climate finance</w:t>
      </w:r>
      <w:r w:rsidR="000105FF" w:rsidRPr="00FC1E5A">
        <w:rPr>
          <w:rFonts w:cs="Arial"/>
          <w:i/>
          <w:iCs/>
          <w:lang w:val="en-GB"/>
        </w:rPr>
        <w:t xml:space="preserve"> </w:t>
      </w:r>
      <w:r w:rsidR="000105FF" w:rsidRPr="00FC1E5A">
        <w:rPr>
          <w:rFonts w:cs="Arial"/>
          <w:lang w:val="en-GB"/>
        </w:rPr>
        <w:t>(</w:t>
      </w:r>
      <w:proofErr w:type="spellStart"/>
      <w:r w:rsidR="000105FF" w:rsidRPr="00FC1E5A">
        <w:rPr>
          <w:rFonts w:cs="Arial"/>
          <w:lang w:val="en-GB"/>
        </w:rPr>
        <w:t>Averchenkova</w:t>
      </w:r>
      <w:proofErr w:type="spellEnd"/>
      <w:r w:rsidR="000105FF" w:rsidRPr="00FC1E5A">
        <w:rPr>
          <w:rFonts w:cs="Arial"/>
          <w:lang w:val="en-GB"/>
        </w:rPr>
        <w:t xml:space="preserve"> et al. 2020)</w:t>
      </w:r>
      <w:r w:rsidR="001274B2" w:rsidRPr="00FC1E5A">
        <w:rPr>
          <w:rFonts w:cs="Arial"/>
          <w:lang w:val="en-GB"/>
        </w:rPr>
        <w:t>.</w:t>
      </w:r>
      <w:r w:rsidR="002F40F9">
        <w:rPr>
          <w:rFonts w:cs="Arial"/>
          <w:lang w:val="en-GB"/>
        </w:rPr>
        <w:t xml:space="preserve"> This dimension</w:t>
      </w:r>
      <w:r w:rsidR="00F86C49">
        <w:rPr>
          <w:rFonts w:cs="Arial"/>
          <w:lang w:val="en-GB"/>
        </w:rPr>
        <w:t xml:space="preserve"> is weighted with 10%</w:t>
      </w:r>
      <w:r w:rsidR="00AB7B79">
        <w:rPr>
          <w:rFonts w:cs="Arial"/>
          <w:lang w:val="en-GB"/>
        </w:rPr>
        <w:t>.</w:t>
      </w:r>
    </w:p>
    <w:p w14:paraId="0AE9E41F" w14:textId="17E56BD0" w:rsidR="001274B2" w:rsidRPr="00FC1E5A" w:rsidRDefault="00EE3A7D" w:rsidP="001274B2">
      <w:pPr>
        <w:rPr>
          <w:rFonts w:cs="Arial"/>
          <w:lang w:val="en-GB"/>
        </w:rPr>
      </w:pPr>
      <w:r>
        <w:rPr>
          <w:rFonts w:cs="Arial"/>
          <w:b/>
          <w:bCs/>
          <w:lang w:val="en-GB"/>
        </w:rPr>
        <w:t xml:space="preserve">In this assessment dimension, </w:t>
      </w:r>
      <w:r w:rsidR="009F03AC">
        <w:rPr>
          <w:rFonts w:cs="Arial"/>
          <w:b/>
          <w:bCs/>
          <w:lang w:val="en-GB"/>
        </w:rPr>
        <w:t>Atradius DSB</w:t>
      </w:r>
      <w:r w:rsidR="001274B2" w:rsidRPr="00FC1E5A">
        <w:rPr>
          <w:rFonts w:cs="Arial"/>
          <w:b/>
          <w:bCs/>
          <w:lang w:val="en-GB"/>
        </w:rPr>
        <w:t xml:space="preserve"> </w:t>
      </w:r>
      <w:r w:rsidR="009F03AC">
        <w:rPr>
          <w:rFonts w:cs="Arial"/>
          <w:b/>
          <w:bCs/>
          <w:lang w:val="en-GB"/>
        </w:rPr>
        <w:t xml:space="preserve">is </w:t>
      </w:r>
      <w:r w:rsidR="001274B2" w:rsidRPr="00FC1E5A">
        <w:rPr>
          <w:rFonts w:cs="Arial"/>
          <w:b/>
          <w:bCs/>
          <w:lang w:val="en-GB"/>
        </w:rPr>
        <w:t xml:space="preserve">rated as </w:t>
      </w:r>
      <w:r w:rsidR="009554A4" w:rsidRPr="00FC1E5A">
        <w:rPr>
          <w:rFonts w:cs="Arial"/>
          <w:b/>
          <w:bCs/>
          <w:lang w:val="en-GB"/>
        </w:rPr>
        <w:t>‘</w:t>
      </w:r>
      <w:r w:rsidR="00FF2D58">
        <w:rPr>
          <w:rFonts w:cs="Arial"/>
          <w:b/>
          <w:bCs/>
          <w:lang w:val="en-GB"/>
        </w:rPr>
        <w:t>Some progress’</w:t>
      </w:r>
      <w:r w:rsidR="001274B2" w:rsidRPr="00FC1E5A">
        <w:rPr>
          <w:rFonts w:cs="Arial"/>
          <w:b/>
          <w:bCs/>
          <w:lang w:val="en-GB"/>
        </w:rPr>
        <w:t xml:space="preserve"> with a</w:t>
      </w:r>
      <w:r w:rsidR="000D04D8">
        <w:rPr>
          <w:rFonts w:cs="Arial"/>
          <w:b/>
          <w:bCs/>
          <w:lang w:val="en-GB"/>
        </w:rPr>
        <w:t xml:space="preserve"> </w:t>
      </w:r>
      <w:r w:rsidR="001274B2" w:rsidRPr="00FC1E5A">
        <w:rPr>
          <w:rFonts w:cs="Arial"/>
          <w:b/>
          <w:bCs/>
          <w:lang w:val="en-GB"/>
        </w:rPr>
        <w:t>sub-score of 0.</w:t>
      </w:r>
      <w:r w:rsidR="005F0327">
        <w:rPr>
          <w:rFonts w:cs="Arial"/>
          <w:b/>
          <w:bCs/>
          <w:lang w:val="en-GB"/>
        </w:rPr>
        <w:t>6</w:t>
      </w:r>
      <w:r w:rsidR="001274B2" w:rsidRPr="00FC1E5A">
        <w:rPr>
          <w:rFonts w:cs="Arial"/>
          <w:b/>
          <w:bCs/>
          <w:lang w:val="en-GB"/>
        </w:rPr>
        <w:t>0</w:t>
      </w:r>
      <w:r w:rsidR="003F40DC" w:rsidRPr="00FC1E5A">
        <w:rPr>
          <w:rFonts w:cs="Arial"/>
          <w:b/>
          <w:bCs/>
          <w:lang w:val="en-GB"/>
        </w:rPr>
        <w:t>/3.00</w:t>
      </w:r>
      <w:r w:rsidR="001274B2" w:rsidRPr="00FC1E5A">
        <w:rPr>
          <w:rFonts w:cs="Arial"/>
          <w:lang w:val="en-GB"/>
        </w:rPr>
        <w:t xml:space="preserve">. </w:t>
      </w:r>
      <w:r w:rsidR="00B62487">
        <w:rPr>
          <w:rFonts w:cs="Arial"/>
          <w:lang w:val="en-GB"/>
        </w:rPr>
        <w:t xml:space="preserve">All </w:t>
      </w:r>
      <w:r w:rsidR="006D58DE">
        <w:rPr>
          <w:rFonts w:cs="Arial"/>
          <w:lang w:val="en-GB"/>
        </w:rPr>
        <w:t xml:space="preserve">key questions </w:t>
      </w:r>
      <w:r w:rsidR="00B62487">
        <w:rPr>
          <w:rFonts w:cs="Arial"/>
          <w:lang w:val="en-GB"/>
        </w:rPr>
        <w:t>except one are rated with ‘Some progress’.</w:t>
      </w:r>
      <w:r w:rsidR="00172896">
        <w:rPr>
          <w:rFonts w:cs="Arial"/>
          <w:lang w:val="en-GB"/>
        </w:rPr>
        <w:t xml:space="preserve"> Q4.3 is rated ‘Unaligned’ notably due to </w:t>
      </w:r>
      <w:r w:rsidR="003740D5">
        <w:rPr>
          <w:rFonts w:cs="Arial"/>
          <w:lang w:val="en-GB"/>
        </w:rPr>
        <w:t xml:space="preserve">the </w:t>
      </w:r>
      <w:r w:rsidR="00500B76">
        <w:rPr>
          <w:rFonts w:cs="Arial"/>
          <w:lang w:val="en-GB"/>
        </w:rPr>
        <w:t xml:space="preserve">estimated </w:t>
      </w:r>
      <w:r w:rsidR="003740D5">
        <w:rPr>
          <w:rFonts w:cs="Arial"/>
          <w:lang w:val="en-GB"/>
        </w:rPr>
        <w:t xml:space="preserve">relatively small shares of </w:t>
      </w:r>
      <w:r w:rsidR="000C212B">
        <w:rPr>
          <w:rFonts w:cs="Arial"/>
          <w:lang w:val="en-GB"/>
        </w:rPr>
        <w:t xml:space="preserve">clean </w:t>
      </w:r>
      <w:r w:rsidR="00180238">
        <w:rPr>
          <w:rFonts w:cs="Arial"/>
          <w:lang w:val="en-GB"/>
        </w:rPr>
        <w:t>energy finance over</w:t>
      </w:r>
      <w:r w:rsidR="00854C09">
        <w:rPr>
          <w:rFonts w:cs="Arial"/>
          <w:lang w:val="en-GB"/>
        </w:rPr>
        <w:t xml:space="preserve"> Atradius DSB´s</w:t>
      </w:r>
      <w:r w:rsidR="00180238">
        <w:rPr>
          <w:rFonts w:cs="Arial"/>
          <w:lang w:val="en-GB"/>
        </w:rPr>
        <w:t xml:space="preserve"> total energy sector portfolio.</w:t>
      </w:r>
      <w:r w:rsidR="00B62487">
        <w:rPr>
          <w:rFonts w:cs="Arial"/>
          <w:lang w:val="en-GB"/>
        </w:rPr>
        <w:t xml:space="preserve"> </w:t>
      </w:r>
      <w:r w:rsidR="00F64BC5">
        <w:rPr>
          <w:rFonts w:cs="Arial"/>
          <w:lang w:val="en-GB"/>
        </w:rPr>
        <w:t xml:space="preserve">Note that we consider ‘climate’ finance as a </w:t>
      </w:r>
      <w:r w:rsidR="00101A34">
        <w:rPr>
          <w:rFonts w:cs="Arial"/>
          <w:lang w:val="en-GB"/>
        </w:rPr>
        <w:t>sub-</w:t>
      </w:r>
      <w:r w:rsidR="00F64BC5">
        <w:rPr>
          <w:rFonts w:cs="Arial"/>
          <w:lang w:val="en-GB"/>
        </w:rPr>
        <w:t>category of ‘green’ finance</w:t>
      </w:r>
      <w:r w:rsidR="00756416">
        <w:rPr>
          <w:rFonts w:cs="Arial"/>
          <w:lang w:val="en-GB"/>
        </w:rPr>
        <w:t xml:space="preserve">, which in turn, is subordinate to </w:t>
      </w:r>
      <w:r w:rsidR="00FC39B6">
        <w:rPr>
          <w:rFonts w:cs="Arial"/>
          <w:lang w:val="en-GB"/>
        </w:rPr>
        <w:t>‘sustainable’ finance</w:t>
      </w:r>
      <w:r w:rsidR="00E36943">
        <w:rPr>
          <w:rFonts w:cs="Arial"/>
          <w:lang w:val="en-GB"/>
        </w:rPr>
        <w:t>.</w:t>
      </w:r>
      <w:r w:rsidR="0018118B">
        <w:rPr>
          <w:rFonts w:cs="Arial"/>
          <w:lang w:val="en-GB"/>
        </w:rPr>
        <w:t xml:space="preserve"> Since Atradius DSB </w:t>
      </w:r>
      <w:r w:rsidR="00101A34">
        <w:rPr>
          <w:rFonts w:cs="Arial"/>
          <w:lang w:val="en-GB"/>
        </w:rPr>
        <w:t xml:space="preserve">only </w:t>
      </w:r>
      <w:r w:rsidR="0018118B">
        <w:rPr>
          <w:rFonts w:cs="Arial"/>
          <w:lang w:val="en-GB"/>
        </w:rPr>
        <w:t>reports ‘green’ finance, this is what we assess</w:t>
      </w:r>
      <w:r w:rsidR="00015416">
        <w:rPr>
          <w:rFonts w:cs="Arial"/>
          <w:lang w:val="en-GB"/>
        </w:rPr>
        <w:t>ed</w:t>
      </w:r>
      <w:r w:rsidR="0018118B">
        <w:rPr>
          <w:rFonts w:cs="Arial"/>
          <w:lang w:val="en-GB"/>
        </w:rPr>
        <w:t xml:space="preserve"> in this dimension.</w:t>
      </w:r>
    </w:p>
    <w:tbl>
      <w:tblPr>
        <w:tblStyle w:val="Tabellenraster"/>
        <w:tblW w:w="9019" w:type="dxa"/>
        <w:tblInd w:w="-5" w:type="dxa"/>
        <w:tblLook w:val="04A0" w:firstRow="1" w:lastRow="0" w:firstColumn="1" w:lastColumn="0" w:noHBand="0" w:noVBand="1"/>
      </w:tblPr>
      <w:tblGrid>
        <w:gridCol w:w="742"/>
        <w:gridCol w:w="7030"/>
        <w:gridCol w:w="1247"/>
      </w:tblGrid>
      <w:tr w:rsidR="001274B2" w:rsidRPr="00FC1E5A" w14:paraId="7F96C4DF" w14:textId="77777777" w:rsidTr="00493C62">
        <w:trPr>
          <w:trHeight w:val="340"/>
          <w:tblHeader/>
        </w:trPr>
        <w:tc>
          <w:tcPr>
            <w:tcW w:w="742" w:type="dxa"/>
          </w:tcPr>
          <w:p w14:paraId="49E1217F" w14:textId="77777777" w:rsidR="001274B2" w:rsidRPr="00FC1E5A" w:rsidRDefault="001274B2" w:rsidP="001274B2">
            <w:pPr>
              <w:spacing w:after="120"/>
              <w:rPr>
                <w:rFonts w:cs="Arial"/>
                <w:sz w:val="18"/>
                <w:szCs w:val="18"/>
                <w:lang w:val="en-GB"/>
              </w:rPr>
            </w:pPr>
            <w:r w:rsidRPr="00FC1E5A">
              <w:rPr>
                <w:rFonts w:cs="Arial"/>
                <w:b/>
                <w:bCs/>
                <w:sz w:val="18"/>
                <w:szCs w:val="18"/>
                <w:lang w:val="en-GB"/>
              </w:rPr>
              <w:t>Q Nr.</w:t>
            </w:r>
          </w:p>
        </w:tc>
        <w:tc>
          <w:tcPr>
            <w:tcW w:w="7030" w:type="dxa"/>
          </w:tcPr>
          <w:p w14:paraId="5CCEF3BB" w14:textId="77777777" w:rsidR="001274B2" w:rsidRPr="00FC1E5A" w:rsidRDefault="007B5D98" w:rsidP="001274B2">
            <w:pPr>
              <w:spacing w:after="120"/>
              <w:rPr>
                <w:rFonts w:cs="Arial"/>
                <w:sz w:val="18"/>
                <w:szCs w:val="18"/>
                <w:lang w:val="en-GB"/>
              </w:rPr>
            </w:pPr>
            <w:r>
              <w:rPr>
                <w:rFonts w:cs="Arial"/>
                <w:b/>
                <w:bCs/>
                <w:sz w:val="18"/>
                <w:szCs w:val="18"/>
                <w:lang w:val="en-GB"/>
              </w:rPr>
              <w:t>Dimension</w:t>
            </w:r>
            <w:r w:rsidR="001274B2" w:rsidRPr="00FC1E5A">
              <w:rPr>
                <w:rFonts w:cs="Arial"/>
                <w:b/>
                <w:bCs/>
                <w:sz w:val="18"/>
                <w:szCs w:val="18"/>
                <w:lang w:val="en-GB"/>
              </w:rPr>
              <w:t xml:space="preserve"> 4 – key questions</w:t>
            </w:r>
          </w:p>
        </w:tc>
        <w:tc>
          <w:tcPr>
            <w:tcW w:w="1247" w:type="dxa"/>
            <w:shd w:val="clear" w:color="auto" w:fill="auto"/>
          </w:tcPr>
          <w:p w14:paraId="0A692AAC" w14:textId="77777777" w:rsidR="001274B2" w:rsidRPr="00FC1E5A" w:rsidRDefault="001274B2" w:rsidP="001274B2">
            <w:pPr>
              <w:spacing w:after="120"/>
              <w:rPr>
                <w:rFonts w:cs="Arial"/>
                <w:sz w:val="18"/>
                <w:szCs w:val="18"/>
                <w:lang w:val="en-GB"/>
              </w:rPr>
            </w:pPr>
            <w:r w:rsidRPr="00FC1E5A">
              <w:rPr>
                <w:rFonts w:cs="Arial"/>
                <w:b/>
                <w:bCs/>
                <w:sz w:val="18"/>
                <w:szCs w:val="18"/>
                <w:lang w:val="en-GB"/>
              </w:rPr>
              <w:t>Rating</w:t>
            </w:r>
          </w:p>
        </w:tc>
      </w:tr>
      <w:tr w:rsidR="001407A2" w:rsidRPr="00FC1E5A" w14:paraId="7CCE4355" w14:textId="77777777" w:rsidTr="00191156">
        <w:trPr>
          <w:trHeight w:val="113"/>
        </w:trPr>
        <w:tc>
          <w:tcPr>
            <w:tcW w:w="742" w:type="dxa"/>
          </w:tcPr>
          <w:p w14:paraId="560BAEA6" w14:textId="77777777" w:rsidR="001407A2" w:rsidRPr="00FC1E5A" w:rsidRDefault="001407A2" w:rsidP="001407A2">
            <w:pPr>
              <w:spacing w:after="120"/>
              <w:rPr>
                <w:rFonts w:cs="Arial"/>
                <w:sz w:val="18"/>
                <w:szCs w:val="18"/>
                <w:lang w:val="en-GB"/>
              </w:rPr>
            </w:pPr>
            <w:r w:rsidRPr="00FC1E5A">
              <w:rPr>
                <w:rFonts w:cs="Arial"/>
                <w:sz w:val="18"/>
                <w:szCs w:val="18"/>
                <w:lang w:val="en-GB"/>
              </w:rPr>
              <w:t>4.1</w:t>
            </w:r>
          </w:p>
        </w:tc>
        <w:tc>
          <w:tcPr>
            <w:tcW w:w="7030" w:type="dxa"/>
          </w:tcPr>
          <w:p w14:paraId="1937F817" w14:textId="77777777" w:rsidR="001407A2" w:rsidRPr="00FC1E5A" w:rsidRDefault="001407A2" w:rsidP="001407A2">
            <w:pPr>
              <w:spacing w:after="120"/>
              <w:rPr>
                <w:rFonts w:cs="Arial"/>
                <w:sz w:val="18"/>
                <w:szCs w:val="18"/>
                <w:lang w:val="en-GB"/>
              </w:rPr>
            </w:pPr>
            <w:r w:rsidRPr="00FC1E5A">
              <w:rPr>
                <w:rFonts w:cs="Arial"/>
                <w:sz w:val="18"/>
                <w:szCs w:val="18"/>
                <w:lang w:val="en-GB"/>
              </w:rPr>
              <w:t>What is the reported share of climate finance over total portfolio?</w:t>
            </w:r>
            <w:r w:rsidR="005E52EA">
              <w:rPr>
                <w:rFonts w:cs="Arial"/>
                <w:sz w:val="18"/>
                <w:szCs w:val="18"/>
                <w:lang w:val="en-GB"/>
              </w:rPr>
              <w:t xml:space="preserve"> </w:t>
            </w:r>
          </w:p>
        </w:tc>
        <w:tc>
          <w:tcPr>
            <w:tcW w:w="1247" w:type="dxa"/>
            <w:shd w:val="clear" w:color="auto" w:fill="FFC000"/>
          </w:tcPr>
          <w:p w14:paraId="13353F68" w14:textId="77777777" w:rsidR="001407A2" w:rsidRPr="00FC1E5A" w:rsidRDefault="00191156" w:rsidP="001407A2">
            <w:pPr>
              <w:spacing w:after="120"/>
              <w:rPr>
                <w:rFonts w:cs="Arial"/>
                <w:b/>
                <w:bCs/>
                <w:sz w:val="18"/>
                <w:szCs w:val="18"/>
                <w:lang w:val="en-GB"/>
              </w:rPr>
            </w:pPr>
            <w:r>
              <w:rPr>
                <w:rFonts w:cs="Arial"/>
                <w:b/>
                <w:bCs/>
                <w:sz w:val="18"/>
                <w:szCs w:val="18"/>
                <w:lang w:val="en-GB"/>
              </w:rPr>
              <w:t>Some progress</w:t>
            </w:r>
          </w:p>
        </w:tc>
      </w:tr>
      <w:tr w:rsidR="001274B2" w:rsidRPr="00FC1E5A" w14:paraId="27C4F004" w14:textId="77777777" w:rsidTr="001407A2">
        <w:trPr>
          <w:trHeight w:val="170"/>
        </w:trPr>
        <w:tc>
          <w:tcPr>
            <w:tcW w:w="742" w:type="dxa"/>
          </w:tcPr>
          <w:p w14:paraId="0FFA09D2" w14:textId="77777777" w:rsidR="001274B2" w:rsidRPr="00FC1E5A" w:rsidRDefault="001274B2" w:rsidP="001274B2">
            <w:pPr>
              <w:spacing w:after="120"/>
              <w:rPr>
                <w:rFonts w:cs="Arial"/>
                <w:sz w:val="18"/>
                <w:szCs w:val="18"/>
                <w:lang w:val="en-GB"/>
              </w:rPr>
            </w:pPr>
            <w:r w:rsidRPr="00FC1E5A">
              <w:rPr>
                <w:rFonts w:cs="Arial"/>
                <w:sz w:val="18"/>
                <w:szCs w:val="18"/>
                <w:lang w:val="en-GB"/>
              </w:rPr>
              <w:t>4.2</w:t>
            </w:r>
          </w:p>
        </w:tc>
        <w:tc>
          <w:tcPr>
            <w:tcW w:w="7030" w:type="dxa"/>
          </w:tcPr>
          <w:p w14:paraId="06576D2C" w14:textId="77777777" w:rsidR="001274B2" w:rsidRPr="00FC1E5A" w:rsidRDefault="001274B2" w:rsidP="001274B2">
            <w:pPr>
              <w:spacing w:after="120"/>
              <w:rPr>
                <w:rFonts w:cs="Arial"/>
                <w:sz w:val="18"/>
                <w:szCs w:val="18"/>
                <w:lang w:val="en-GB"/>
              </w:rPr>
            </w:pPr>
            <w:r w:rsidRPr="00FC1E5A">
              <w:rPr>
                <w:rFonts w:cs="Arial"/>
                <w:sz w:val="18"/>
                <w:szCs w:val="18"/>
                <w:lang w:val="en-GB"/>
              </w:rPr>
              <w:t xml:space="preserve">How can the quality/appropriateness of climate finance earmarks be assessed? </w:t>
            </w:r>
          </w:p>
        </w:tc>
        <w:tc>
          <w:tcPr>
            <w:tcW w:w="1247" w:type="dxa"/>
            <w:shd w:val="clear" w:color="auto" w:fill="FFC000"/>
          </w:tcPr>
          <w:p w14:paraId="6303E715" w14:textId="77777777" w:rsidR="001274B2" w:rsidRPr="00FC1E5A" w:rsidRDefault="001407A2" w:rsidP="001274B2">
            <w:pPr>
              <w:spacing w:after="120"/>
              <w:rPr>
                <w:rFonts w:cs="Arial"/>
                <w:b/>
                <w:bCs/>
                <w:sz w:val="18"/>
                <w:szCs w:val="18"/>
                <w:lang w:val="en-GB"/>
              </w:rPr>
            </w:pPr>
            <w:r w:rsidRPr="00FC1E5A">
              <w:rPr>
                <w:rFonts w:cs="Arial"/>
                <w:b/>
                <w:bCs/>
                <w:sz w:val="18"/>
                <w:szCs w:val="18"/>
                <w:lang w:val="en-GB"/>
              </w:rPr>
              <w:t>Some progress</w:t>
            </w:r>
          </w:p>
        </w:tc>
      </w:tr>
      <w:tr w:rsidR="001274B2" w:rsidRPr="00FC1E5A" w14:paraId="07EC43FA" w14:textId="77777777" w:rsidTr="00493C62">
        <w:trPr>
          <w:trHeight w:val="680"/>
        </w:trPr>
        <w:tc>
          <w:tcPr>
            <w:tcW w:w="742" w:type="dxa"/>
          </w:tcPr>
          <w:p w14:paraId="493885B2" w14:textId="77777777" w:rsidR="001274B2" w:rsidRPr="00FC1E5A" w:rsidRDefault="001274B2" w:rsidP="001274B2">
            <w:pPr>
              <w:spacing w:after="120"/>
              <w:rPr>
                <w:rFonts w:cs="Arial"/>
                <w:sz w:val="18"/>
                <w:szCs w:val="18"/>
                <w:lang w:val="en-GB"/>
              </w:rPr>
            </w:pPr>
            <w:r w:rsidRPr="00FC1E5A">
              <w:rPr>
                <w:rFonts w:cs="Arial"/>
                <w:sz w:val="18"/>
                <w:szCs w:val="18"/>
                <w:lang w:val="en-GB"/>
              </w:rPr>
              <w:t>4.3</w:t>
            </w:r>
          </w:p>
        </w:tc>
        <w:tc>
          <w:tcPr>
            <w:tcW w:w="7030" w:type="dxa"/>
          </w:tcPr>
          <w:p w14:paraId="186DD901" w14:textId="77777777" w:rsidR="001274B2" w:rsidRPr="00FC1E5A" w:rsidRDefault="001274B2" w:rsidP="001274B2">
            <w:pPr>
              <w:spacing w:after="120"/>
              <w:rPr>
                <w:rFonts w:cs="Arial"/>
                <w:sz w:val="18"/>
                <w:szCs w:val="18"/>
                <w:lang w:val="en-GB"/>
              </w:rPr>
            </w:pPr>
            <w:r w:rsidRPr="00FC1E5A">
              <w:rPr>
                <w:rFonts w:cs="Arial"/>
                <w:sz w:val="18"/>
                <w:szCs w:val="18"/>
                <w:lang w:val="en-GB"/>
              </w:rPr>
              <w:t xml:space="preserve">What is the share of clean energy financing over total energy-related financing? </w:t>
            </w:r>
            <w:r w:rsidR="003356E2" w:rsidRPr="003356E2">
              <w:rPr>
                <w:rFonts w:cs="Arial"/>
                <w:sz w:val="18"/>
                <w:szCs w:val="18"/>
                <w:lang w:val="en-GB"/>
              </w:rPr>
              <w:t>(average of new commitments from the last three years where data is available)</w:t>
            </w:r>
          </w:p>
        </w:tc>
        <w:tc>
          <w:tcPr>
            <w:tcW w:w="1247" w:type="dxa"/>
            <w:shd w:val="clear" w:color="auto" w:fill="FF0000"/>
          </w:tcPr>
          <w:p w14:paraId="492ABEF3" w14:textId="77777777" w:rsidR="001274B2" w:rsidRPr="00FC1E5A" w:rsidRDefault="001274B2" w:rsidP="001274B2">
            <w:pPr>
              <w:spacing w:after="120"/>
              <w:rPr>
                <w:rFonts w:cs="Arial"/>
                <w:b/>
                <w:bCs/>
                <w:sz w:val="18"/>
                <w:szCs w:val="18"/>
                <w:lang w:val="en-GB"/>
              </w:rPr>
            </w:pPr>
            <w:r w:rsidRPr="00FC1E5A">
              <w:rPr>
                <w:rFonts w:cs="Arial"/>
                <w:b/>
                <w:bCs/>
                <w:sz w:val="18"/>
                <w:szCs w:val="18"/>
                <w:lang w:val="en-GB"/>
              </w:rPr>
              <w:t>Unaligned</w:t>
            </w:r>
            <w:r w:rsidRPr="00FC1E5A">
              <w:rPr>
                <w:rFonts w:cs="Arial"/>
                <w:b/>
                <w:bCs/>
                <w:sz w:val="18"/>
                <w:szCs w:val="18"/>
                <w:lang w:val="en-GB"/>
              </w:rPr>
              <w:tab/>
            </w:r>
          </w:p>
        </w:tc>
      </w:tr>
      <w:tr w:rsidR="001274B2" w:rsidRPr="00FC1E5A" w14:paraId="2D49E6EF" w14:textId="77777777" w:rsidTr="00493C62">
        <w:trPr>
          <w:trHeight w:val="680"/>
        </w:trPr>
        <w:tc>
          <w:tcPr>
            <w:tcW w:w="742" w:type="dxa"/>
          </w:tcPr>
          <w:p w14:paraId="0DF87D2E" w14:textId="77777777" w:rsidR="001274B2" w:rsidRPr="00FC1E5A" w:rsidRDefault="001274B2" w:rsidP="001274B2">
            <w:pPr>
              <w:spacing w:after="120"/>
              <w:rPr>
                <w:rFonts w:cs="Arial"/>
                <w:sz w:val="18"/>
                <w:szCs w:val="18"/>
                <w:lang w:val="en-GB"/>
              </w:rPr>
            </w:pPr>
            <w:r w:rsidRPr="00FC1E5A">
              <w:rPr>
                <w:rFonts w:cs="Arial"/>
                <w:sz w:val="18"/>
                <w:szCs w:val="18"/>
                <w:lang w:val="en-GB"/>
              </w:rPr>
              <w:t>4.4</w:t>
            </w:r>
          </w:p>
        </w:tc>
        <w:tc>
          <w:tcPr>
            <w:tcW w:w="7030" w:type="dxa"/>
          </w:tcPr>
          <w:p w14:paraId="10E6F966" w14:textId="77777777" w:rsidR="001274B2" w:rsidRPr="00FC1E5A" w:rsidRDefault="001274B2" w:rsidP="001274B2">
            <w:pPr>
              <w:spacing w:after="120"/>
              <w:rPr>
                <w:rFonts w:cs="Arial"/>
                <w:sz w:val="18"/>
                <w:szCs w:val="18"/>
                <w:lang w:val="en-GB"/>
              </w:rPr>
            </w:pPr>
            <w:r w:rsidRPr="00FC1E5A">
              <w:rPr>
                <w:rFonts w:cs="Arial"/>
                <w:sz w:val="18"/>
                <w:szCs w:val="18"/>
                <w:lang w:val="en-GB"/>
              </w:rPr>
              <w:t xml:space="preserve">To what extent does the pricing structure take into account climate impacts of activities? </w:t>
            </w:r>
          </w:p>
        </w:tc>
        <w:tc>
          <w:tcPr>
            <w:tcW w:w="1247" w:type="dxa"/>
            <w:shd w:val="clear" w:color="auto" w:fill="FFC000"/>
          </w:tcPr>
          <w:p w14:paraId="07FA6D90" w14:textId="77777777" w:rsidR="001274B2" w:rsidRPr="00FC1E5A" w:rsidRDefault="001274B2" w:rsidP="001274B2">
            <w:pPr>
              <w:spacing w:after="120"/>
              <w:rPr>
                <w:rFonts w:cs="Arial"/>
                <w:b/>
                <w:bCs/>
                <w:sz w:val="18"/>
                <w:szCs w:val="18"/>
                <w:lang w:val="en-GB"/>
              </w:rPr>
            </w:pPr>
            <w:r w:rsidRPr="00FC1E5A">
              <w:rPr>
                <w:rFonts w:cs="Arial"/>
                <w:b/>
                <w:bCs/>
                <w:sz w:val="18"/>
                <w:szCs w:val="18"/>
                <w:lang w:val="en-GB"/>
              </w:rPr>
              <w:t>Some progress</w:t>
            </w:r>
          </w:p>
        </w:tc>
      </w:tr>
      <w:tr w:rsidR="001274B2" w:rsidRPr="00FC1E5A" w14:paraId="60DB1605" w14:textId="77777777" w:rsidTr="00493C62">
        <w:trPr>
          <w:trHeight w:val="680"/>
        </w:trPr>
        <w:tc>
          <w:tcPr>
            <w:tcW w:w="742" w:type="dxa"/>
          </w:tcPr>
          <w:p w14:paraId="072D2C74" w14:textId="77777777" w:rsidR="001274B2" w:rsidRPr="00FC1E5A" w:rsidRDefault="001274B2" w:rsidP="001274B2">
            <w:pPr>
              <w:spacing w:after="120"/>
              <w:rPr>
                <w:rFonts w:cs="Arial"/>
                <w:sz w:val="18"/>
                <w:szCs w:val="18"/>
                <w:lang w:val="en-GB"/>
              </w:rPr>
            </w:pPr>
            <w:r w:rsidRPr="00FC1E5A">
              <w:rPr>
                <w:rFonts w:cs="Arial"/>
                <w:sz w:val="18"/>
                <w:szCs w:val="18"/>
                <w:lang w:val="en-GB"/>
              </w:rPr>
              <w:t>4.5</w:t>
            </w:r>
          </w:p>
        </w:tc>
        <w:tc>
          <w:tcPr>
            <w:tcW w:w="7030" w:type="dxa"/>
          </w:tcPr>
          <w:p w14:paraId="6B0F1882" w14:textId="77777777" w:rsidR="001274B2" w:rsidRPr="00FC1E5A" w:rsidRDefault="001274B2" w:rsidP="001274B2">
            <w:pPr>
              <w:spacing w:after="120"/>
              <w:rPr>
                <w:rFonts w:cs="Arial"/>
                <w:sz w:val="18"/>
                <w:szCs w:val="18"/>
                <w:lang w:val="en-GB"/>
              </w:rPr>
            </w:pPr>
            <w:r w:rsidRPr="00FC1E5A">
              <w:rPr>
                <w:rFonts w:cs="Arial"/>
                <w:sz w:val="18"/>
                <w:szCs w:val="18"/>
                <w:lang w:val="en-GB"/>
              </w:rPr>
              <w:t xml:space="preserve">In how far does the institution </w:t>
            </w:r>
            <w:r w:rsidR="00B57AA2" w:rsidRPr="00FC1E5A">
              <w:rPr>
                <w:rFonts w:cs="Arial"/>
                <w:sz w:val="18"/>
                <w:szCs w:val="18"/>
                <w:lang w:val="en-GB"/>
              </w:rPr>
              <w:t>ensure</w:t>
            </w:r>
            <w:r w:rsidRPr="00FC1E5A">
              <w:rPr>
                <w:rFonts w:cs="Arial"/>
                <w:sz w:val="18"/>
                <w:szCs w:val="18"/>
                <w:lang w:val="en-GB"/>
              </w:rPr>
              <w:t xml:space="preserve"> </w:t>
            </w:r>
            <w:r w:rsidR="00B57AA2" w:rsidRPr="00FC1E5A">
              <w:rPr>
                <w:rFonts w:cs="Arial"/>
                <w:sz w:val="18"/>
                <w:szCs w:val="18"/>
                <w:lang w:val="en-GB"/>
              </w:rPr>
              <w:t xml:space="preserve">positive </w:t>
            </w:r>
            <w:r w:rsidRPr="00FC1E5A">
              <w:rPr>
                <w:rFonts w:cs="Arial"/>
                <w:sz w:val="18"/>
                <w:szCs w:val="18"/>
                <w:lang w:val="en-GB"/>
              </w:rPr>
              <w:t xml:space="preserve">sustainable development </w:t>
            </w:r>
            <w:r w:rsidR="00B57AA2" w:rsidRPr="00FC1E5A">
              <w:rPr>
                <w:rFonts w:cs="Arial"/>
                <w:sz w:val="18"/>
                <w:szCs w:val="18"/>
                <w:lang w:val="en-GB"/>
              </w:rPr>
              <w:t>contributions of its activities</w:t>
            </w:r>
            <w:r w:rsidRPr="00FC1E5A">
              <w:rPr>
                <w:rFonts w:cs="Arial"/>
                <w:sz w:val="18"/>
                <w:szCs w:val="18"/>
                <w:lang w:val="en-GB"/>
              </w:rPr>
              <w:t xml:space="preserve">? </w:t>
            </w:r>
          </w:p>
        </w:tc>
        <w:tc>
          <w:tcPr>
            <w:tcW w:w="1247" w:type="dxa"/>
            <w:shd w:val="clear" w:color="auto" w:fill="FFC000"/>
          </w:tcPr>
          <w:p w14:paraId="3D2C202C" w14:textId="77777777" w:rsidR="001274B2" w:rsidRPr="00FC1E5A" w:rsidRDefault="001274B2" w:rsidP="001274B2">
            <w:pPr>
              <w:spacing w:after="120"/>
              <w:rPr>
                <w:rFonts w:cs="Arial"/>
                <w:b/>
                <w:bCs/>
                <w:sz w:val="18"/>
                <w:szCs w:val="18"/>
                <w:lang w:val="en-GB"/>
              </w:rPr>
            </w:pPr>
            <w:r w:rsidRPr="00FC1E5A">
              <w:rPr>
                <w:rFonts w:cs="Arial"/>
                <w:b/>
                <w:bCs/>
                <w:sz w:val="18"/>
                <w:szCs w:val="18"/>
                <w:lang w:val="en-GB"/>
              </w:rPr>
              <w:t>Some progress</w:t>
            </w:r>
          </w:p>
        </w:tc>
      </w:tr>
    </w:tbl>
    <w:p w14:paraId="4FE89615" w14:textId="77777777" w:rsidR="001274B2" w:rsidRPr="00FC1E5A" w:rsidRDefault="001274B2" w:rsidP="00493C62">
      <w:pPr>
        <w:spacing w:before="120" w:after="120"/>
        <w:rPr>
          <w:rFonts w:cs="Arial"/>
          <w:lang w:val="en-GB"/>
        </w:rPr>
      </w:pPr>
      <w:r w:rsidRPr="00FC1E5A">
        <w:rPr>
          <w:rFonts w:cs="Arial"/>
          <w:b/>
          <w:bCs/>
          <w:lang w:val="en-GB"/>
        </w:rPr>
        <w:t xml:space="preserve">Q4.1: What is the reported share of </w:t>
      </w:r>
      <w:r w:rsidRPr="00D90DDD">
        <w:rPr>
          <w:rFonts w:cs="Arial"/>
          <w:b/>
          <w:bCs/>
          <w:lang w:val="en-GB"/>
        </w:rPr>
        <w:t>climate finance over total portfolio?</w:t>
      </w:r>
      <w:r w:rsidRPr="00EC285E">
        <w:rPr>
          <w:rFonts w:cs="Arial"/>
          <w:b/>
          <w:bCs/>
          <w:lang w:val="en-GB"/>
        </w:rPr>
        <w:t xml:space="preserve"> </w:t>
      </w:r>
    </w:p>
    <w:p w14:paraId="28D27C6C" w14:textId="78D66CB5" w:rsidR="001212E5" w:rsidRDefault="006D58DE" w:rsidP="001274B2">
      <w:pPr>
        <w:rPr>
          <w:rFonts w:cs="Arial"/>
          <w:lang w:val="en-GB"/>
        </w:rPr>
      </w:pPr>
      <w:r>
        <w:rPr>
          <w:rFonts w:cs="Arial"/>
          <w:lang w:val="en-GB"/>
        </w:rPr>
        <w:t>Q4.1</w:t>
      </w:r>
      <w:r w:rsidR="006B4A5C">
        <w:rPr>
          <w:rFonts w:cs="Arial"/>
          <w:lang w:val="en-GB"/>
        </w:rPr>
        <w:t xml:space="preserve"> </w:t>
      </w:r>
      <w:r w:rsidR="00605711">
        <w:rPr>
          <w:rFonts w:cs="Arial"/>
          <w:lang w:val="en-GB"/>
        </w:rPr>
        <w:t xml:space="preserve">was </w:t>
      </w:r>
      <w:r w:rsidR="003B4504">
        <w:rPr>
          <w:rFonts w:cs="Arial"/>
          <w:lang w:val="en-GB"/>
        </w:rPr>
        <w:t>rated with ‘</w:t>
      </w:r>
      <w:r w:rsidR="00191156">
        <w:rPr>
          <w:rFonts w:cs="Arial"/>
          <w:lang w:val="en-GB"/>
        </w:rPr>
        <w:t>Some progress’</w:t>
      </w:r>
      <w:r w:rsidR="00B425F5">
        <w:rPr>
          <w:rFonts w:cs="Arial"/>
          <w:lang w:val="en-GB"/>
        </w:rPr>
        <w:t xml:space="preserve"> – with a clear potential of becoming ‘Paris</w:t>
      </w:r>
      <w:r w:rsidR="00564815">
        <w:rPr>
          <w:rFonts w:cs="Arial"/>
          <w:lang w:val="en-GB"/>
        </w:rPr>
        <w:t>-</w:t>
      </w:r>
      <w:r w:rsidR="00B425F5">
        <w:rPr>
          <w:rFonts w:cs="Arial"/>
          <w:lang w:val="en-GB"/>
        </w:rPr>
        <w:t>aligned’</w:t>
      </w:r>
      <w:r w:rsidR="003B4504">
        <w:rPr>
          <w:rFonts w:cs="Arial"/>
          <w:lang w:val="en-GB"/>
        </w:rPr>
        <w:t>. The assessment is based on the reported</w:t>
      </w:r>
      <w:r w:rsidR="00482129">
        <w:rPr>
          <w:rFonts w:cs="Arial"/>
          <w:lang w:val="en-GB"/>
        </w:rPr>
        <w:t xml:space="preserve"> high level of the</w:t>
      </w:r>
      <w:r w:rsidR="003B4504">
        <w:rPr>
          <w:rFonts w:cs="Arial"/>
          <w:lang w:val="en-GB"/>
        </w:rPr>
        <w:t xml:space="preserve"> share of ‘green’ activities based on the ‘Green Label’ methodology</w:t>
      </w:r>
      <w:r w:rsidR="00E92E4B">
        <w:rPr>
          <w:rFonts w:cs="Arial"/>
          <w:lang w:val="en-GB"/>
        </w:rPr>
        <w:t xml:space="preserve"> and the significant increase </w:t>
      </w:r>
      <w:r w:rsidR="009F4C9D">
        <w:rPr>
          <w:rFonts w:cs="Arial"/>
          <w:lang w:val="en-GB"/>
        </w:rPr>
        <w:t>of the volume of additional</w:t>
      </w:r>
      <w:r w:rsidR="00E92E4B">
        <w:rPr>
          <w:rFonts w:cs="Arial"/>
          <w:lang w:val="en-GB"/>
        </w:rPr>
        <w:t xml:space="preserve"> </w:t>
      </w:r>
      <w:r w:rsidR="009F4C9D">
        <w:rPr>
          <w:rFonts w:cs="Arial"/>
          <w:lang w:val="en-GB"/>
        </w:rPr>
        <w:t xml:space="preserve">activities insured which were </w:t>
      </w:r>
      <w:r w:rsidR="00E92E4B">
        <w:rPr>
          <w:rFonts w:cs="Arial"/>
          <w:lang w:val="en-GB"/>
        </w:rPr>
        <w:t>classified as ‘green’ between 2019 and 2020</w:t>
      </w:r>
      <w:r w:rsidR="003B4504">
        <w:rPr>
          <w:rFonts w:cs="Arial"/>
          <w:lang w:val="en-GB"/>
        </w:rPr>
        <w:t xml:space="preserve"> </w:t>
      </w:r>
      <w:r w:rsidR="008930B4">
        <w:rPr>
          <w:rFonts w:cs="Arial"/>
          <w:lang w:val="en-GB"/>
        </w:rPr>
        <w:t xml:space="preserve">(Atradius DSB 2020). </w:t>
      </w:r>
      <w:r w:rsidR="00101A34">
        <w:rPr>
          <w:rFonts w:cs="Arial"/>
          <w:lang w:val="en-GB"/>
        </w:rPr>
        <w:t>Notwithstanding</w:t>
      </w:r>
      <w:r w:rsidR="00F353FE">
        <w:rPr>
          <w:rFonts w:cs="Arial"/>
          <w:lang w:val="en-GB"/>
        </w:rPr>
        <w:t xml:space="preserve"> the caveats of the </w:t>
      </w:r>
      <w:r w:rsidR="0052295B">
        <w:rPr>
          <w:rFonts w:cs="Arial"/>
          <w:lang w:val="en-GB"/>
        </w:rPr>
        <w:t xml:space="preserve">‘Green Label’ </w:t>
      </w:r>
      <w:r w:rsidR="00F353FE">
        <w:rPr>
          <w:rFonts w:cs="Arial"/>
          <w:lang w:val="en-GB"/>
        </w:rPr>
        <w:t xml:space="preserve">methodology noted under Q1.3, </w:t>
      </w:r>
      <w:r w:rsidR="00737BD9" w:rsidRPr="00AC5BAA">
        <w:rPr>
          <w:rFonts w:cs="Arial"/>
          <w:lang w:val="en-GB"/>
        </w:rPr>
        <w:t>this share</w:t>
      </w:r>
      <w:r w:rsidR="00BF6E80" w:rsidRPr="00AC5BAA">
        <w:rPr>
          <w:rFonts w:cs="Arial"/>
          <w:lang w:val="en-GB"/>
        </w:rPr>
        <w:t xml:space="preserve"> is reported as rising </w:t>
      </w:r>
      <w:r w:rsidR="00737BD9" w:rsidRPr="00AC5BAA">
        <w:rPr>
          <w:rFonts w:cs="Arial"/>
          <w:lang w:val="en-GB"/>
        </w:rPr>
        <w:t xml:space="preserve">from </w:t>
      </w:r>
      <w:r w:rsidR="00334285" w:rsidRPr="00AC5BAA">
        <w:rPr>
          <w:rFonts w:cs="Arial"/>
          <w:lang w:val="en-GB"/>
        </w:rPr>
        <w:t>19.</w:t>
      </w:r>
      <w:r w:rsidR="00BF6E80" w:rsidRPr="00AC5BAA">
        <w:rPr>
          <w:rFonts w:cs="Arial"/>
          <w:lang w:val="en-GB"/>
        </w:rPr>
        <w:t>7%</w:t>
      </w:r>
      <w:r w:rsidR="00160BAE" w:rsidRPr="00AC5BAA">
        <w:rPr>
          <w:rFonts w:cs="Arial"/>
          <w:lang w:val="en-GB"/>
        </w:rPr>
        <w:t xml:space="preserve"> in</w:t>
      </w:r>
      <w:r w:rsidR="00737BD9" w:rsidRPr="00AC5BAA">
        <w:rPr>
          <w:rFonts w:cs="Arial"/>
          <w:lang w:val="en-GB"/>
        </w:rPr>
        <w:t xml:space="preserve"> 2019</w:t>
      </w:r>
      <w:r w:rsidR="00FC4973" w:rsidRPr="00AC5BAA">
        <w:rPr>
          <w:rFonts w:cs="Arial"/>
          <w:lang w:val="en-GB"/>
        </w:rPr>
        <w:t xml:space="preserve"> to 49%</w:t>
      </w:r>
      <w:r w:rsidR="009F4C9D" w:rsidRPr="00AC5BAA">
        <w:rPr>
          <w:rFonts w:cs="Arial"/>
          <w:lang w:val="en-GB"/>
        </w:rPr>
        <w:t xml:space="preserve"> in 2020 </w:t>
      </w:r>
      <w:r w:rsidR="00FF0B28" w:rsidRPr="00AC5BAA">
        <w:rPr>
          <w:rFonts w:cs="Arial"/>
          <w:lang w:val="en-GB"/>
        </w:rPr>
        <w:t>(Government of the Netherlands 2020; 2021</w:t>
      </w:r>
      <w:r w:rsidR="008F20F0" w:rsidRPr="00AC5BAA">
        <w:rPr>
          <w:rFonts w:cs="Arial"/>
          <w:lang w:val="en-GB"/>
        </w:rPr>
        <w:t>b</w:t>
      </w:r>
      <w:r w:rsidR="00FF0B28" w:rsidRPr="00AC5BAA">
        <w:rPr>
          <w:rFonts w:cs="Arial"/>
          <w:lang w:val="en-GB"/>
        </w:rPr>
        <w:t>)</w:t>
      </w:r>
      <w:r w:rsidR="008F20F0" w:rsidRPr="00AC5BAA">
        <w:rPr>
          <w:rFonts w:cs="Arial"/>
          <w:lang w:val="en-GB"/>
        </w:rPr>
        <w:t>.</w:t>
      </w:r>
      <w:r w:rsidR="00E9168B" w:rsidRPr="00AC5BAA">
        <w:rPr>
          <w:rFonts w:cs="Arial"/>
          <w:lang w:val="en-GB"/>
        </w:rPr>
        <w:t xml:space="preserve"> </w:t>
      </w:r>
      <w:r w:rsidR="00BC3F91" w:rsidRPr="00AC5BAA">
        <w:rPr>
          <w:rFonts w:cs="Arial"/>
          <w:lang w:val="en-GB"/>
        </w:rPr>
        <w:t>This leve</w:t>
      </w:r>
      <w:r w:rsidR="00BC3F91">
        <w:rPr>
          <w:rFonts w:cs="Arial"/>
          <w:lang w:val="en-GB"/>
        </w:rPr>
        <w:t xml:space="preserve">l exceeds the average share of activities classified as </w:t>
      </w:r>
      <w:r w:rsidR="00C25706">
        <w:rPr>
          <w:rFonts w:cs="Arial"/>
          <w:lang w:val="en-GB"/>
        </w:rPr>
        <w:t>‘</w:t>
      </w:r>
      <w:r w:rsidR="00BC3F91">
        <w:rPr>
          <w:rFonts w:cs="Arial"/>
          <w:lang w:val="en-GB"/>
        </w:rPr>
        <w:t>climate finance</w:t>
      </w:r>
      <w:r w:rsidR="00C25706">
        <w:rPr>
          <w:rFonts w:cs="Arial"/>
          <w:lang w:val="en-GB"/>
        </w:rPr>
        <w:t>’</w:t>
      </w:r>
      <w:r w:rsidR="00BC3F91">
        <w:rPr>
          <w:rFonts w:cs="Arial"/>
          <w:lang w:val="en-GB"/>
        </w:rPr>
        <w:t xml:space="preserve"> of </w:t>
      </w:r>
      <w:r w:rsidR="00E43A6D">
        <w:rPr>
          <w:rFonts w:cs="Arial"/>
          <w:lang w:val="en-GB"/>
        </w:rPr>
        <w:t xml:space="preserve">nine </w:t>
      </w:r>
      <w:r w:rsidR="00BC3F91">
        <w:rPr>
          <w:rFonts w:cs="Arial"/>
          <w:lang w:val="en-GB"/>
        </w:rPr>
        <w:t xml:space="preserve">major MDBs </w:t>
      </w:r>
      <w:r w:rsidR="008C6BDD">
        <w:rPr>
          <w:rFonts w:cs="Arial"/>
          <w:lang w:val="en-GB"/>
        </w:rPr>
        <w:t xml:space="preserve">which stood at </w:t>
      </w:r>
      <w:r w:rsidR="00BC3F91">
        <w:rPr>
          <w:rFonts w:cs="Arial"/>
          <w:lang w:val="en-GB"/>
        </w:rPr>
        <w:t>29% over total MDB operations in 2020</w:t>
      </w:r>
      <w:r w:rsidR="00682EAE">
        <w:rPr>
          <w:rFonts w:cs="Arial"/>
          <w:lang w:val="en-GB"/>
        </w:rPr>
        <w:t>,</w:t>
      </w:r>
      <w:r w:rsidR="00BC3F91">
        <w:rPr>
          <w:rFonts w:cs="Arial"/>
          <w:lang w:val="en-GB"/>
        </w:rPr>
        <w:t xml:space="preserve"> excluding climate co-finance (MDB Joint Report 2021).</w:t>
      </w:r>
      <w:r w:rsidR="0037110A">
        <w:rPr>
          <w:rFonts w:cs="Arial"/>
          <w:lang w:val="en-GB"/>
        </w:rPr>
        <w:t xml:space="preserve"> </w:t>
      </w:r>
      <w:r w:rsidR="00F46D53">
        <w:rPr>
          <w:rFonts w:cs="Arial"/>
          <w:lang w:val="en-GB"/>
        </w:rPr>
        <w:t xml:space="preserve">However, </w:t>
      </w:r>
      <w:r w:rsidR="00E83EE7">
        <w:rPr>
          <w:rFonts w:cs="Arial"/>
          <w:lang w:val="en-GB"/>
        </w:rPr>
        <w:t xml:space="preserve">this comparison needs to be taken with a grain of salt </w:t>
      </w:r>
      <w:r w:rsidR="00D368B3">
        <w:rPr>
          <w:rFonts w:cs="Arial"/>
          <w:lang w:val="en-GB"/>
        </w:rPr>
        <w:t>due to</w:t>
      </w:r>
      <w:r w:rsidR="002253C6">
        <w:rPr>
          <w:rFonts w:cs="Arial"/>
          <w:lang w:val="en-GB"/>
        </w:rPr>
        <w:t xml:space="preserve"> </w:t>
      </w:r>
      <w:r w:rsidR="00024D64">
        <w:rPr>
          <w:rFonts w:cs="Arial"/>
          <w:lang w:val="en-GB"/>
        </w:rPr>
        <w:t xml:space="preserve">different </w:t>
      </w:r>
      <w:r w:rsidR="006877A8">
        <w:rPr>
          <w:rFonts w:cs="Arial"/>
          <w:lang w:val="en-GB"/>
        </w:rPr>
        <w:t>definitions</w:t>
      </w:r>
      <w:r w:rsidR="00024D64">
        <w:rPr>
          <w:rFonts w:cs="Arial"/>
          <w:lang w:val="en-GB"/>
        </w:rPr>
        <w:t xml:space="preserve"> of ‘green’ or ‘climate-related’ activities </w:t>
      </w:r>
      <w:r w:rsidR="00C84F5B">
        <w:rPr>
          <w:rFonts w:cs="Arial"/>
          <w:lang w:val="en-GB"/>
        </w:rPr>
        <w:t xml:space="preserve">as well as </w:t>
      </w:r>
      <w:r w:rsidR="002253C6">
        <w:rPr>
          <w:rFonts w:cs="Arial"/>
          <w:lang w:val="en-GB"/>
        </w:rPr>
        <w:t>the different</w:t>
      </w:r>
      <w:r w:rsidR="001B5703">
        <w:rPr>
          <w:rFonts w:cs="Arial"/>
          <w:lang w:val="en-GB"/>
        </w:rPr>
        <w:t xml:space="preserve"> nature of</w:t>
      </w:r>
      <w:r w:rsidR="002253C6">
        <w:rPr>
          <w:rFonts w:cs="Arial"/>
          <w:lang w:val="en-GB"/>
        </w:rPr>
        <w:t xml:space="preserve"> financi</w:t>
      </w:r>
      <w:r w:rsidR="00F9322C">
        <w:rPr>
          <w:rFonts w:cs="Arial"/>
          <w:lang w:val="en-GB"/>
        </w:rPr>
        <w:t>al</w:t>
      </w:r>
      <w:r w:rsidR="002253C6">
        <w:rPr>
          <w:rFonts w:cs="Arial"/>
          <w:lang w:val="en-GB"/>
        </w:rPr>
        <w:t xml:space="preserve"> instruments</w:t>
      </w:r>
      <w:r w:rsidR="00694189">
        <w:rPr>
          <w:rFonts w:cs="Arial"/>
          <w:lang w:val="en-GB"/>
        </w:rPr>
        <w:t xml:space="preserve">. </w:t>
      </w:r>
      <w:r w:rsidR="00000730">
        <w:rPr>
          <w:rFonts w:cs="Arial"/>
          <w:lang w:val="en-GB"/>
        </w:rPr>
        <w:t xml:space="preserve">Note that </w:t>
      </w:r>
      <w:r w:rsidR="00E34CD3">
        <w:rPr>
          <w:rFonts w:cs="Arial"/>
          <w:lang w:val="en-GB"/>
        </w:rPr>
        <w:t xml:space="preserve">‘green’ reporting is </w:t>
      </w:r>
      <w:r w:rsidR="009B72A1">
        <w:rPr>
          <w:rFonts w:cs="Arial"/>
          <w:lang w:val="en-GB"/>
        </w:rPr>
        <w:t xml:space="preserve">currently </w:t>
      </w:r>
      <w:r w:rsidR="00E34CD3">
        <w:rPr>
          <w:rFonts w:cs="Arial"/>
          <w:lang w:val="en-GB"/>
        </w:rPr>
        <w:t xml:space="preserve">only </w:t>
      </w:r>
      <w:r w:rsidR="00E34CD3">
        <w:rPr>
          <w:rFonts w:cs="Arial"/>
          <w:lang w:val="en-GB"/>
        </w:rPr>
        <w:lastRenderedPageBreak/>
        <w:t xml:space="preserve">available </w:t>
      </w:r>
      <w:r w:rsidR="006877A8">
        <w:rPr>
          <w:rFonts w:cs="Arial"/>
          <w:lang w:val="en-GB"/>
        </w:rPr>
        <w:t xml:space="preserve">for </w:t>
      </w:r>
      <w:r w:rsidR="007A5B13">
        <w:rPr>
          <w:rFonts w:cs="Arial"/>
          <w:lang w:val="en-GB"/>
        </w:rPr>
        <w:t>2019 and 2020</w:t>
      </w:r>
      <w:r w:rsidR="00E34CD3">
        <w:rPr>
          <w:rFonts w:cs="Arial"/>
          <w:lang w:val="en-GB"/>
        </w:rPr>
        <w:t xml:space="preserve"> and a three-year average to correct for outliers could not yet be calculated.</w:t>
      </w:r>
      <w:r w:rsidR="00F529B1">
        <w:rPr>
          <w:rFonts w:cs="Arial"/>
          <w:lang w:val="en-GB"/>
        </w:rPr>
        <w:t xml:space="preserve"> In fact, the jump between 2019 and 2020 </w:t>
      </w:r>
      <w:r w:rsidR="00D55BC1">
        <w:rPr>
          <w:rFonts w:cs="Arial"/>
          <w:lang w:val="en-GB"/>
        </w:rPr>
        <w:t xml:space="preserve">was explained by </w:t>
      </w:r>
      <w:r w:rsidR="00366499">
        <w:rPr>
          <w:rFonts w:cs="Arial"/>
          <w:lang w:val="en-GB"/>
        </w:rPr>
        <w:t>“</w:t>
      </w:r>
      <w:r w:rsidR="00366499" w:rsidRPr="00EC285E">
        <w:rPr>
          <w:rFonts w:cs="Arial"/>
          <w:i/>
          <w:lang w:val="en-GB"/>
        </w:rPr>
        <w:t>a number of</w:t>
      </w:r>
      <w:r w:rsidR="00366499">
        <w:rPr>
          <w:rFonts w:cs="Arial"/>
          <w:lang w:val="en-GB"/>
        </w:rPr>
        <w:t xml:space="preserve"> </w:t>
      </w:r>
      <w:r w:rsidR="00F529B1" w:rsidRPr="00EC285E">
        <w:rPr>
          <w:rFonts w:cs="Arial"/>
          <w:i/>
          <w:lang w:val="en-GB"/>
        </w:rPr>
        <w:t>very large</w:t>
      </w:r>
      <w:r w:rsidR="00E83EE7" w:rsidRPr="00EC285E">
        <w:rPr>
          <w:rFonts w:cs="Arial"/>
          <w:i/>
          <w:lang w:val="en-GB"/>
        </w:rPr>
        <w:t xml:space="preserve"> </w:t>
      </w:r>
      <w:r w:rsidR="00366499" w:rsidRPr="00EC285E">
        <w:rPr>
          <w:rFonts w:cs="Arial"/>
          <w:i/>
          <w:lang w:val="en-GB"/>
        </w:rPr>
        <w:t>projects</w:t>
      </w:r>
      <w:r w:rsidR="00366499">
        <w:rPr>
          <w:rFonts w:cs="Arial"/>
          <w:lang w:val="en-GB"/>
        </w:rPr>
        <w:t>”</w:t>
      </w:r>
      <w:r w:rsidR="00550DB6">
        <w:rPr>
          <w:rFonts w:cs="Arial"/>
          <w:lang w:val="en-GB"/>
        </w:rPr>
        <w:t xml:space="preserve"> </w:t>
      </w:r>
      <w:r w:rsidR="006176FF">
        <w:rPr>
          <w:rFonts w:cs="Arial"/>
          <w:lang w:val="en-GB"/>
        </w:rPr>
        <w:t>(</w:t>
      </w:r>
      <w:r w:rsidR="00550DB6">
        <w:rPr>
          <w:rFonts w:cs="Arial"/>
          <w:lang w:val="en-GB"/>
        </w:rPr>
        <w:t>namely 14</w:t>
      </w:r>
      <w:r w:rsidR="006176FF">
        <w:rPr>
          <w:rFonts w:cs="Arial"/>
          <w:lang w:val="en-GB"/>
        </w:rPr>
        <w:t>)</w:t>
      </w:r>
      <w:r w:rsidR="00366499">
        <w:rPr>
          <w:rFonts w:cs="Arial"/>
          <w:lang w:val="en-GB"/>
        </w:rPr>
        <w:t xml:space="preserve"> </w:t>
      </w:r>
      <w:r w:rsidR="00B205DE">
        <w:rPr>
          <w:rFonts w:cs="Arial"/>
          <w:lang w:val="en-GB"/>
        </w:rPr>
        <w:t xml:space="preserve">that </w:t>
      </w:r>
      <w:r w:rsidR="009B3CCA">
        <w:rPr>
          <w:rFonts w:cs="Arial"/>
          <w:lang w:val="en-GB"/>
        </w:rPr>
        <w:t xml:space="preserve">were </w:t>
      </w:r>
      <w:r w:rsidR="00E05813">
        <w:rPr>
          <w:rFonts w:cs="Arial"/>
          <w:lang w:val="en-GB"/>
        </w:rPr>
        <w:t>classified as ‘green’ in 2020</w:t>
      </w:r>
      <w:r w:rsidR="00B205DE">
        <w:rPr>
          <w:rFonts w:cs="Arial"/>
          <w:lang w:val="en-GB"/>
        </w:rPr>
        <w:t xml:space="preserve"> (Government of the Netherlands (2021b, p.20)</w:t>
      </w:r>
      <w:r w:rsidR="00E83EE7">
        <w:rPr>
          <w:rFonts w:cs="Arial"/>
          <w:lang w:val="en-GB"/>
        </w:rPr>
        <w:t>.</w:t>
      </w:r>
      <w:r w:rsidR="00B0688E">
        <w:rPr>
          <w:rFonts w:cs="Arial"/>
          <w:lang w:val="en-GB"/>
        </w:rPr>
        <w:t xml:space="preserve"> This strengthens the case for</w:t>
      </w:r>
      <w:r w:rsidR="00385AE8">
        <w:rPr>
          <w:rFonts w:cs="Arial"/>
          <w:lang w:val="en-GB"/>
        </w:rPr>
        <w:t xml:space="preserve"> the need to</w:t>
      </w:r>
      <w:r w:rsidR="00B0688E">
        <w:rPr>
          <w:rFonts w:cs="Arial"/>
          <w:lang w:val="en-GB"/>
        </w:rPr>
        <w:t xml:space="preserve"> look at </w:t>
      </w:r>
      <w:r w:rsidR="00075E3C">
        <w:rPr>
          <w:rFonts w:cs="Arial"/>
          <w:lang w:val="en-GB"/>
        </w:rPr>
        <w:t>multiple</w:t>
      </w:r>
      <w:r w:rsidR="00424654">
        <w:rPr>
          <w:rFonts w:cs="Arial"/>
          <w:lang w:val="en-GB"/>
        </w:rPr>
        <w:t>-</w:t>
      </w:r>
      <w:r w:rsidR="00075E3C">
        <w:rPr>
          <w:rFonts w:cs="Arial"/>
          <w:lang w:val="en-GB"/>
        </w:rPr>
        <w:t xml:space="preserve">year </w:t>
      </w:r>
      <w:r w:rsidR="00B0688E">
        <w:rPr>
          <w:rFonts w:cs="Arial"/>
          <w:lang w:val="en-GB"/>
        </w:rPr>
        <w:t>averages.</w:t>
      </w:r>
      <w:r w:rsidR="00C97E71">
        <w:rPr>
          <w:rFonts w:cs="Arial"/>
          <w:lang w:val="en-GB"/>
        </w:rPr>
        <w:t xml:space="preserve"> </w:t>
      </w:r>
    </w:p>
    <w:p w14:paraId="2DFBF814" w14:textId="77777777" w:rsidR="003B4504" w:rsidRDefault="00C97E71" w:rsidP="001274B2">
      <w:pPr>
        <w:rPr>
          <w:rFonts w:cs="Arial"/>
          <w:lang w:val="en-GB"/>
        </w:rPr>
      </w:pPr>
      <w:r>
        <w:rPr>
          <w:rFonts w:cs="Arial"/>
          <w:lang w:val="en-GB"/>
        </w:rPr>
        <w:t>In general</w:t>
      </w:r>
      <w:r w:rsidR="00313DCB">
        <w:rPr>
          <w:rFonts w:cs="Arial"/>
          <w:lang w:val="en-GB"/>
        </w:rPr>
        <w:t xml:space="preserve">, </w:t>
      </w:r>
      <w:r w:rsidR="00240A2B">
        <w:rPr>
          <w:rFonts w:cs="Arial"/>
          <w:lang w:val="en-GB"/>
        </w:rPr>
        <w:t>we recommend to report ‘green’ activities as</w:t>
      </w:r>
      <w:r w:rsidR="00E5741D">
        <w:rPr>
          <w:rFonts w:cs="Arial"/>
          <w:lang w:val="en-GB"/>
        </w:rPr>
        <w:t xml:space="preserve"> both</w:t>
      </w:r>
      <w:r w:rsidR="00240A2B">
        <w:rPr>
          <w:rFonts w:cs="Arial"/>
          <w:lang w:val="en-GB"/>
        </w:rPr>
        <w:t xml:space="preserve"> </w:t>
      </w:r>
      <w:r w:rsidR="009D44C2">
        <w:rPr>
          <w:rFonts w:cs="Arial"/>
          <w:lang w:val="en-GB"/>
        </w:rPr>
        <w:t>the</w:t>
      </w:r>
      <w:r w:rsidR="00240A2B">
        <w:rPr>
          <w:rFonts w:cs="Arial"/>
          <w:lang w:val="en-GB"/>
        </w:rPr>
        <w:t xml:space="preserve"> share of total portfolio</w:t>
      </w:r>
      <w:r w:rsidR="002145F0">
        <w:rPr>
          <w:rFonts w:cs="Arial"/>
          <w:lang w:val="en-GB"/>
        </w:rPr>
        <w:t xml:space="preserve"> (project stock) </w:t>
      </w:r>
      <w:r w:rsidR="00B20B54">
        <w:rPr>
          <w:rFonts w:cs="Arial"/>
          <w:lang w:val="en-GB"/>
        </w:rPr>
        <w:t xml:space="preserve">and as </w:t>
      </w:r>
      <w:r w:rsidR="00EB6548">
        <w:rPr>
          <w:rFonts w:cs="Arial"/>
          <w:lang w:val="en-GB"/>
        </w:rPr>
        <w:t xml:space="preserve">new commitments in an additional year </w:t>
      </w:r>
      <w:r w:rsidR="006837C6">
        <w:rPr>
          <w:rFonts w:cs="Arial"/>
          <w:lang w:val="en-GB"/>
        </w:rPr>
        <w:t>(project flow)</w:t>
      </w:r>
      <w:r w:rsidR="003E52E2">
        <w:rPr>
          <w:rFonts w:cs="Arial"/>
          <w:lang w:val="en-GB"/>
        </w:rPr>
        <w:t xml:space="preserve"> to achieve </w:t>
      </w:r>
      <w:r w:rsidR="00D6368A">
        <w:rPr>
          <w:rFonts w:cs="Arial"/>
          <w:lang w:val="en-GB"/>
        </w:rPr>
        <w:t xml:space="preserve">a more comprehensive </w:t>
      </w:r>
      <w:r w:rsidR="003E52E2">
        <w:rPr>
          <w:rFonts w:cs="Arial"/>
          <w:lang w:val="en-GB"/>
        </w:rPr>
        <w:t>and comparable picture</w:t>
      </w:r>
      <w:r w:rsidR="00240A2B">
        <w:rPr>
          <w:rFonts w:cs="Arial"/>
          <w:lang w:val="en-GB"/>
        </w:rPr>
        <w:t>.</w:t>
      </w:r>
    </w:p>
    <w:p w14:paraId="3668DDA0" w14:textId="77777777" w:rsidR="001274B2" w:rsidRPr="00FC1E5A" w:rsidRDefault="001274B2" w:rsidP="001274B2">
      <w:pPr>
        <w:rPr>
          <w:rFonts w:cs="Arial"/>
          <w:b/>
          <w:bCs/>
          <w:lang w:val="en-GB"/>
        </w:rPr>
      </w:pPr>
      <w:r w:rsidRPr="00FC1E5A">
        <w:rPr>
          <w:rFonts w:cs="Arial"/>
          <w:b/>
          <w:bCs/>
          <w:lang w:val="en-GB"/>
        </w:rPr>
        <w:t>Q4.2: How can the quality/appropriateness of climate finance earmarks be assessed?</w:t>
      </w:r>
    </w:p>
    <w:p w14:paraId="700B0C1A" w14:textId="63572A77" w:rsidR="001212E5" w:rsidRDefault="006D58DE" w:rsidP="001274B2">
      <w:pPr>
        <w:rPr>
          <w:rFonts w:cs="Arial"/>
          <w:lang w:val="en-GB"/>
        </w:rPr>
      </w:pPr>
      <w:r>
        <w:rPr>
          <w:rFonts w:cs="Arial"/>
          <w:lang w:val="en-GB"/>
        </w:rPr>
        <w:t>Q4.2</w:t>
      </w:r>
      <w:r w:rsidR="00FE52FE">
        <w:rPr>
          <w:rFonts w:cs="Arial"/>
          <w:lang w:val="en-GB"/>
        </w:rPr>
        <w:t xml:space="preserve"> </w:t>
      </w:r>
      <w:r w:rsidR="00213C15">
        <w:rPr>
          <w:rFonts w:cs="Arial"/>
          <w:lang w:val="en-GB"/>
        </w:rPr>
        <w:t xml:space="preserve">was </w:t>
      </w:r>
      <w:r w:rsidR="00FE52FE">
        <w:rPr>
          <w:rFonts w:cs="Arial"/>
          <w:lang w:val="en-GB"/>
        </w:rPr>
        <w:t>rated as ‘</w:t>
      </w:r>
      <w:r w:rsidR="0044706B">
        <w:rPr>
          <w:rFonts w:cs="Arial"/>
          <w:lang w:val="en-GB"/>
        </w:rPr>
        <w:t>Some progress’</w:t>
      </w:r>
      <w:r w:rsidR="00FE52FE">
        <w:rPr>
          <w:rFonts w:cs="Arial"/>
          <w:lang w:val="en-GB"/>
        </w:rPr>
        <w:t xml:space="preserve">. </w:t>
      </w:r>
      <w:r w:rsidR="0028270C">
        <w:rPr>
          <w:rFonts w:cs="Arial"/>
          <w:lang w:val="en-GB"/>
        </w:rPr>
        <w:t>This assessment is based on the rationale behind the</w:t>
      </w:r>
      <w:r w:rsidR="00FC1B50">
        <w:rPr>
          <w:rFonts w:cs="Arial"/>
          <w:lang w:val="en-GB"/>
        </w:rPr>
        <w:t xml:space="preserve"> ‘Green Label’ methodology </w:t>
      </w:r>
      <w:r w:rsidR="00BE3DF6">
        <w:rPr>
          <w:rFonts w:cs="Arial"/>
          <w:lang w:val="en-GB"/>
        </w:rPr>
        <w:t xml:space="preserve">which </w:t>
      </w:r>
      <w:r w:rsidR="00FC1B50">
        <w:rPr>
          <w:rFonts w:cs="Arial"/>
          <w:lang w:val="en-GB"/>
        </w:rPr>
        <w:t>was developed according to the standard approach suggested by the International Finance Corporation (IFC) (Atradius DSB 2020).</w:t>
      </w:r>
      <w:r w:rsidR="00037C23">
        <w:rPr>
          <w:rFonts w:cs="Arial"/>
          <w:lang w:val="en-GB"/>
        </w:rPr>
        <w:t xml:space="preserve"> </w:t>
      </w:r>
      <w:r w:rsidR="00310FFB">
        <w:rPr>
          <w:rFonts w:cs="Arial"/>
          <w:lang w:val="en-GB"/>
        </w:rPr>
        <w:t xml:space="preserve">While transparent and </w:t>
      </w:r>
      <w:r w:rsidR="00B454FA">
        <w:rPr>
          <w:rFonts w:cs="Arial"/>
          <w:lang w:val="en-GB"/>
        </w:rPr>
        <w:t>pragmatic, we cannot provide better scoring for this approach since the methodology still allow</w:t>
      </w:r>
      <w:r w:rsidR="00244B71">
        <w:rPr>
          <w:rFonts w:cs="Arial"/>
          <w:lang w:val="en-GB"/>
        </w:rPr>
        <w:t>s</w:t>
      </w:r>
      <w:r w:rsidR="00B454FA">
        <w:rPr>
          <w:rFonts w:cs="Arial"/>
          <w:lang w:val="en-GB"/>
        </w:rPr>
        <w:t xml:space="preserve"> for </w:t>
      </w:r>
      <w:r w:rsidR="00B454FA" w:rsidRPr="00B454FA">
        <w:rPr>
          <w:rFonts w:cs="Arial"/>
          <w:lang w:val="en-GB"/>
        </w:rPr>
        <w:t xml:space="preserve">retrofits of existing fossil fuel power plants </w:t>
      </w:r>
      <w:r w:rsidR="00B454FA">
        <w:rPr>
          <w:rFonts w:cs="Arial"/>
          <w:lang w:val="en-GB"/>
        </w:rPr>
        <w:t xml:space="preserve">or other improvements </w:t>
      </w:r>
      <w:r w:rsidR="00E66CEA">
        <w:rPr>
          <w:rFonts w:cs="Arial"/>
          <w:lang w:val="en-GB"/>
        </w:rPr>
        <w:t>of activities in</w:t>
      </w:r>
      <w:r w:rsidR="00B454FA">
        <w:rPr>
          <w:rFonts w:cs="Arial"/>
          <w:lang w:val="en-GB"/>
        </w:rPr>
        <w:t xml:space="preserve"> fossil fuel value chains</w:t>
      </w:r>
      <w:r w:rsidR="00BF6EBE">
        <w:rPr>
          <w:rFonts w:cs="Arial"/>
          <w:lang w:val="en-GB"/>
        </w:rPr>
        <w:t xml:space="preserve"> if certain conditions are met.</w:t>
      </w:r>
      <w:r w:rsidR="007F5B44">
        <w:rPr>
          <w:rFonts w:cs="Arial"/>
          <w:lang w:val="en-GB"/>
        </w:rPr>
        <w:t xml:space="preserve"> This runs the risk of contributing to an infrastructural and technological carbon lock-in</w:t>
      </w:r>
      <w:r w:rsidR="005A6B47">
        <w:rPr>
          <w:rFonts w:cs="Arial"/>
          <w:lang w:val="en-GB"/>
        </w:rPr>
        <w:t xml:space="preserve"> (e.g., </w:t>
      </w:r>
      <w:proofErr w:type="spellStart"/>
      <w:r w:rsidR="005A6B47" w:rsidRPr="00B26EC1">
        <w:rPr>
          <w:rFonts w:cs="Arial"/>
          <w:lang w:val="en-GB"/>
        </w:rPr>
        <w:t>Seto</w:t>
      </w:r>
      <w:proofErr w:type="spellEnd"/>
      <w:r w:rsidR="005A6B47" w:rsidRPr="00B26EC1">
        <w:rPr>
          <w:rFonts w:cs="Arial"/>
          <w:lang w:val="en-GB"/>
        </w:rPr>
        <w:t xml:space="preserve"> et al. 2016)</w:t>
      </w:r>
      <w:r w:rsidR="005A6B47">
        <w:rPr>
          <w:rFonts w:cs="Arial"/>
          <w:lang w:val="en-GB"/>
        </w:rPr>
        <w:t>. Moreover, th</w:t>
      </w:r>
      <w:r w:rsidR="00C66B9C">
        <w:rPr>
          <w:rFonts w:cs="Arial"/>
          <w:lang w:val="en-GB"/>
        </w:rPr>
        <w:t>e current</w:t>
      </w:r>
      <w:r w:rsidR="005A6B47">
        <w:rPr>
          <w:rFonts w:cs="Arial"/>
          <w:lang w:val="en-GB"/>
        </w:rPr>
        <w:t xml:space="preserve"> approach</w:t>
      </w:r>
      <w:r w:rsidR="007F5B44">
        <w:rPr>
          <w:rFonts w:cs="Arial"/>
          <w:lang w:val="en-GB"/>
        </w:rPr>
        <w:t xml:space="preserve"> </w:t>
      </w:r>
      <w:r w:rsidR="00010D7C">
        <w:rPr>
          <w:rFonts w:cs="Arial"/>
          <w:lang w:val="en-GB"/>
        </w:rPr>
        <w:t>goes against</w:t>
      </w:r>
      <w:r w:rsidR="00B7123B">
        <w:rPr>
          <w:rFonts w:cs="Arial"/>
          <w:lang w:val="en-GB"/>
        </w:rPr>
        <w:t xml:space="preserve"> the logic of the EU Taxonomy on Sustainable Finance, which</w:t>
      </w:r>
      <w:r w:rsidR="002E63BC">
        <w:rPr>
          <w:rFonts w:cs="Arial"/>
          <w:lang w:val="en-GB"/>
        </w:rPr>
        <w:t>,</w:t>
      </w:r>
      <w:r w:rsidR="00B7123B">
        <w:rPr>
          <w:rFonts w:cs="Arial"/>
          <w:lang w:val="en-GB"/>
        </w:rPr>
        <w:t xml:space="preserve"> as </w:t>
      </w:r>
      <w:r w:rsidR="00244B71">
        <w:rPr>
          <w:rFonts w:cs="Arial"/>
          <w:lang w:val="en-GB"/>
        </w:rPr>
        <w:t xml:space="preserve">mentioned </w:t>
      </w:r>
      <w:r w:rsidR="004C2BCC">
        <w:rPr>
          <w:rFonts w:cs="Arial"/>
          <w:lang w:val="en-GB"/>
        </w:rPr>
        <w:t>above</w:t>
      </w:r>
      <w:r w:rsidR="002E63BC">
        <w:rPr>
          <w:rFonts w:cs="Arial"/>
          <w:lang w:val="en-GB"/>
        </w:rPr>
        <w:t>,</w:t>
      </w:r>
      <w:r w:rsidR="00B7123B">
        <w:rPr>
          <w:rFonts w:cs="Arial"/>
          <w:lang w:val="en-GB"/>
        </w:rPr>
        <w:t xml:space="preserve"> only includes retrofits of gas transmission and distribution networks if the activity aims at reducing gas leakage and promotes the use of low carbon gases like hydrogen (TEG 2020a).</w:t>
      </w:r>
      <w:r w:rsidR="00EE3227">
        <w:rPr>
          <w:rFonts w:cs="Arial"/>
          <w:lang w:val="en-GB"/>
        </w:rPr>
        <w:t xml:space="preserve"> Moreover, </w:t>
      </w:r>
      <w:r w:rsidR="00B7123B">
        <w:rPr>
          <w:rFonts w:cs="Arial"/>
          <w:lang w:val="en-GB"/>
        </w:rPr>
        <w:t xml:space="preserve">Atradius DSB (2020, p.7) </w:t>
      </w:r>
      <w:r w:rsidR="00B7123B" w:rsidRPr="00C6419C">
        <w:rPr>
          <w:rFonts w:cs="Arial"/>
          <w:lang w:val="en-GB"/>
        </w:rPr>
        <w:t xml:space="preserve">states that the EU Taxonomy would </w:t>
      </w:r>
      <w:r w:rsidR="00361CDE" w:rsidRPr="00C6419C">
        <w:t>appl</w:t>
      </w:r>
      <w:r w:rsidR="00361CDE">
        <w:t>y</w:t>
      </w:r>
      <w:r w:rsidR="00361CDE" w:rsidRPr="00C6419C">
        <w:t xml:space="preserve"> to transactions within the </w:t>
      </w:r>
      <w:r w:rsidR="00361CDE">
        <w:t>European Union</w:t>
      </w:r>
      <w:r w:rsidR="00B7123B" w:rsidRPr="00C6419C">
        <w:rPr>
          <w:rFonts w:cs="Arial"/>
          <w:lang w:val="en-GB"/>
        </w:rPr>
        <w:t xml:space="preserve"> which therefore </w:t>
      </w:r>
      <w:r w:rsidR="00361CDE">
        <w:rPr>
          <w:rFonts w:cs="Arial"/>
          <w:lang w:val="en-GB"/>
        </w:rPr>
        <w:t xml:space="preserve">only partially covers </w:t>
      </w:r>
      <w:r w:rsidR="00B7123B" w:rsidRPr="00C6419C">
        <w:rPr>
          <w:rFonts w:cs="Arial"/>
          <w:lang w:val="en-GB"/>
        </w:rPr>
        <w:t>their international portfolio.</w:t>
      </w:r>
      <w:r w:rsidR="00B7123B">
        <w:rPr>
          <w:rFonts w:cs="Arial"/>
          <w:lang w:val="en-GB"/>
        </w:rPr>
        <w:t xml:space="preserve"> However, absolute sustainability benchmarks of quality are by nature applicable internationally since it does not matter where in the world the emission of one tonne</w:t>
      </w:r>
      <w:r w:rsidR="00244B71">
        <w:rPr>
          <w:rFonts w:cs="Arial"/>
          <w:lang w:val="en-GB"/>
        </w:rPr>
        <w:t xml:space="preserve"> of</w:t>
      </w:r>
      <w:r w:rsidR="00B7123B">
        <w:rPr>
          <w:rFonts w:cs="Arial"/>
          <w:lang w:val="en-GB"/>
        </w:rPr>
        <w:t xml:space="preserve"> CO</w:t>
      </w:r>
      <w:r w:rsidR="00B7123B" w:rsidRPr="000A5314">
        <w:rPr>
          <w:rFonts w:cs="Arial"/>
          <w:vertAlign w:val="subscript"/>
          <w:lang w:val="en-GB"/>
        </w:rPr>
        <w:t>2</w:t>
      </w:r>
      <w:r w:rsidR="00B7123B" w:rsidRPr="00BE5279">
        <w:rPr>
          <w:rFonts w:cs="Arial"/>
          <w:lang w:val="en-GB"/>
        </w:rPr>
        <w:t>e</w:t>
      </w:r>
      <w:r w:rsidR="00B7123B">
        <w:rPr>
          <w:rFonts w:cs="Arial"/>
          <w:lang w:val="en-GB"/>
        </w:rPr>
        <w:t xml:space="preserve"> is caused or enabled</w:t>
      </w:r>
      <w:r w:rsidR="00DC6FC3">
        <w:rPr>
          <w:rFonts w:cs="Arial"/>
          <w:lang w:val="en-GB"/>
        </w:rPr>
        <w:t>.</w:t>
      </w:r>
      <w:r w:rsidR="00B7123B">
        <w:rPr>
          <w:rFonts w:cs="Arial"/>
          <w:lang w:val="en-GB"/>
        </w:rPr>
        <w:t xml:space="preserve"> European companies, investors and insurers should therefore stick to European </w:t>
      </w:r>
      <w:r w:rsidR="0083449D">
        <w:rPr>
          <w:rFonts w:cs="Arial"/>
          <w:lang w:val="en-GB"/>
        </w:rPr>
        <w:t>standards</w:t>
      </w:r>
      <w:r w:rsidR="00B7123B">
        <w:rPr>
          <w:rFonts w:cs="Arial"/>
          <w:lang w:val="en-GB"/>
        </w:rPr>
        <w:t xml:space="preserve"> globally if they want to take climate and sustainability problems seriously</w:t>
      </w:r>
      <w:r w:rsidR="0083449D">
        <w:rPr>
          <w:rFonts w:cs="Arial"/>
          <w:lang w:val="en-GB"/>
        </w:rPr>
        <w:t xml:space="preserve">. Escaping </w:t>
      </w:r>
      <w:r w:rsidR="001F4E8E">
        <w:rPr>
          <w:rFonts w:cs="Arial"/>
          <w:lang w:val="en-GB"/>
        </w:rPr>
        <w:t xml:space="preserve">stricter environmental regulation by </w:t>
      </w:r>
      <w:r w:rsidR="0083449D">
        <w:rPr>
          <w:rFonts w:cs="Arial"/>
          <w:lang w:val="en-GB"/>
        </w:rPr>
        <w:t xml:space="preserve">the principle of following </w:t>
      </w:r>
      <w:r w:rsidR="00244B71">
        <w:rPr>
          <w:rFonts w:cs="Arial"/>
          <w:lang w:val="en-GB"/>
        </w:rPr>
        <w:t xml:space="preserve">only </w:t>
      </w:r>
      <w:r w:rsidR="0083449D">
        <w:rPr>
          <w:rFonts w:cs="Arial"/>
          <w:lang w:val="en-GB"/>
        </w:rPr>
        <w:t xml:space="preserve">host country regulation needs to </w:t>
      </w:r>
      <w:r w:rsidR="001E0C9C">
        <w:rPr>
          <w:rFonts w:cs="Arial"/>
          <w:lang w:val="en-GB"/>
        </w:rPr>
        <w:t xml:space="preserve">be resolved collectively by strengthening international regulation, such as the OECD Arrangement. </w:t>
      </w:r>
    </w:p>
    <w:p w14:paraId="72DC3E7F" w14:textId="77777777" w:rsidR="00B454FA" w:rsidRDefault="00244B71" w:rsidP="001274B2">
      <w:pPr>
        <w:rPr>
          <w:rFonts w:cs="Arial"/>
          <w:lang w:val="en-GB"/>
        </w:rPr>
      </w:pPr>
      <w:r>
        <w:rPr>
          <w:rFonts w:cs="Arial"/>
          <w:lang w:val="en-GB"/>
        </w:rPr>
        <w:t>W</w:t>
      </w:r>
      <w:r w:rsidR="00A84E78">
        <w:rPr>
          <w:rFonts w:cs="Arial"/>
          <w:lang w:val="en-GB"/>
        </w:rPr>
        <w:t>e</w:t>
      </w:r>
      <w:r>
        <w:rPr>
          <w:rFonts w:cs="Arial"/>
          <w:lang w:val="en-GB"/>
        </w:rPr>
        <w:t xml:space="preserve"> therefore</w:t>
      </w:r>
      <w:r w:rsidR="00A84E78">
        <w:rPr>
          <w:rFonts w:cs="Arial"/>
          <w:lang w:val="en-GB"/>
        </w:rPr>
        <w:t xml:space="preserve"> </w:t>
      </w:r>
      <w:r w:rsidR="009C3EF2">
        <w:rPr>
          <w:rFonts w:cs="Arial"/>
          <w:lang w:val="en-GB"/>
        </w:rPr>
        <w:t>recommend revis</w:t>
      </w:r>
      <w:r>
        <w:rPr>
          <w:rFonts w:cs="Arial"/>
          <w:lang w:val="en-GB"/>
        </w:rPr>
        <w:t>ing</w:t>
      </w:r>
      <w:r w:rsidR="007B0B5D">
        <w:rPr>
          <w:rFonts w:cs="Arial"/>
          <w:lang w:val="en-GB"/>
        </w:rPr>
        <w:t xml:space="preserve"> </w:t>
      </w:r>
      <w:r w:rsidR="009C3EF2">
        <w:rPr>
          <w:rFonts w:cs="Arial"/>
          <w:lang w:val="en-GB"/>
        </w:rPr>
        <w:t xml:space="preserve">the ‘Green List’ </w:t>
      </w:r>
      <w:r>
        <w:rPr>
          <w:rFonts w:cs="Arial"/>
          <w:lang w:val="en-GB"/>
        </w:rPr>
        <w:t>to</w:t>
      </w:r>
      <w:r w:rsidR="00486D30">
        <w:rPr>
          <w:rFonts w:cs="Arial"/>
          <w:lang w:val="en-GB"/>
        </w:rPr>
        <w:t xml:space="preserve"> </w:t>
      </w:r>
      <w:r w:rsidR="00A84E78">
        <w:rPr>
          <w:rFonts w:cs="Arial"/>
          <w:lang w:val="en-GB"/>
        </w:rPr>
        <w:t xml:space="preserve">fully align it with </w:t>
      </w:r>
      <w:r w:rsidR="00370750">
        <w:rPr>
          <w:rFonts w:cs="Arial"/>
          <w:lang w:val="en-GB"/>
        </w:rPr>
        <w:t>the EU taxonomy on Sustainable Finance</w:t>
      </w:r>
      <w:r w:rsidR="00A52AD9">
        <w:rPr>
          <w:rFonts w:cs="Arial"/>
          <w:lang w:val="en-GB"/>
        </w:rPr>
        <w:t>.</w:t>
      </w:r>
      <w:r w:rsidR="00370750">
        <w:rPr>
          <w:rFonts w:cs="Arial"/>
          <w:lang w:val="en-GB"/>
        </w:rPr>
        <w:t xml:space="preserve"> </w:t>
      </w:r>
      <w:r w:rsidR="004B111B">
        <w:rPr>
          <w:rFonts w:cs="Arial"/>
          <w:lang w:val="en-GB"/>
        </w:rPr>
        <w:t>At the same time, the Dutch government needs to ensure that this alignment</w:t>
      </w:r>
      <w:r w:rsidR="00E77E3C">
        <w:rPr>
          <w:rFonts w:cs="Arial"/>
          <w:lang w:val="en-GB"/>
        </w:rPr>
        <w:t xml:space="preserve"> of Atradius DSB with the EU Taxonomy</w:t>
      </w:r>
      <w:r w:rsidR="004B111B">
        <w:rPr>
          <w:rFonts w:cs="Arial"/>
          <w:lang w:val="en-GB"/>
        </w:rPr>
        <w:t xml:space="preserve"> is </w:t>
      </w:r>
      <w:r w:rsidR="00010D7C">
        <w:rPr>
          <w:rFonts w:cs="Arial"/>
          <w:lang w:val="en-GB"/>
        </w:rPr>
        <w:t>based on the latest climate science</w:t>
      </w:r>
      <w:r w:rsidR="004B111B">
        <w:rPr>
          <w:rFonts w:cs="Arial"/>
          <w:lang w:val="en-GB"/>
        </w:rPr>
        <w:t xml:space="preserve">, meaning </w:t>
      </w:r>
      <w:r w:rsidR="006F1291">
        <w:rPr>
          <w:rFonts w:cs="Arial"/>
          <w:lang w:val="en-GB"/>
        </w:rPr>
        <w:t xml:space="preserve">that </w:t>
      </w:r>
      <w:r w:rsidR="004B111B">
        <w:rPr>
          <w:rFonts w:cs="Arial"/>
          <w:lang w:val="en-GB"/>
        </w:rPr>
        <w:t>it needs to exclude all types of fossil fuels</w:t>
      </w:r>
      <w:r w:rsidR="00425835">
        <w:rPr>
          <w:rFonts w:cs="Arial"/>
          <w:lang w:val="en-GB"/>
        </w:rPr>
        <w:t xml:space="preserve">, also in the controversial cases </w:t>
      </w:r>
      <w:r w:rsidR="00D63DB6">
        <w:rPr>
          <w:rFonts w:cs="Arial"/>
          <w:lang w:val="en-GB"/>
        </w:rPr>
        <w:t xml:space="preserve">such as the production of hydrogen (e.g., CEE </w:t>
      </w:r>
      <w:proofErr w:type="spellStart"/>
      <w:r w:rsidR="00D63DB6">
        <w:rPr>
          <w:rFonts w:cs="Arial"/>
          <w:lang w:val="en-GB"/>
        </w:rPr>
        <w:t>Bankwatch</w:t>
      </w:r>
      <w:proofErr w:type="spellEnd"/>
      <w:r w:rsidR="00D63DB6">
        <w:rPr>
          <w:rFonts w:cs="Arial"/>
          <w:lang w:val="en-GB"/>
        </w:rPr>
        <w:t xml:space="preserve"> et al. 2021). </w:t>
      </w:r>
    </w:p>
    <w:p w14:paraId="0656947D" w14:textId="77777777" w:rsidR="001274B2" w:rsidRPr="00FC1E5A" w:rsidRDefault="001274B2" w:rsidP="001274B2">
      <w:pPr>
        <w:rPr>
          <w:rFonts w:cs="Arial"/>
          <w:lang w:val="en-GB"/>
        </w:rPr>
      </w:pPr>
      <w:r w:rsidRPr="00FC1E5A">
        <w:rPr>
          <w:rFonts w:cs="Arial"/>
          <w:b/>
          <w:bCs/>
          <w:lang w:val="en-GB"/>
        </w:rPr>
        <w:t>Q4.3: What is the share of clean energy financing over total energy-related financing?</w:t>
      </w:r>
      <w:r w:rsidRPr="00FC1E5A">
        <w:rPr>
          <w:rFonts w:cs="Arial"/>
          <w:lang w:val="en-GB"/>
        </w:rPr>
        <w:t xml:space="preserve"> </w:t>
      </w:r>
      <w:r w:rsidR="001D5D9A" w:rsidRPr="001D5D9A">
        <w:rPr>
          <w:rFonts w:cs="Arial"/>
          <w:b/>
          <w:bCs/>
          <w:lang w:val="en-GB"/>
        </w:rPr>
        <w:t>(average of new commitments from the last three years where data is available)</w:t>
      </w:r>
    </w:p>
    <w:p w14:paraId="428B26BF" w14:textId="77777777" w:rsidR="001212E5" w:rsidRDefault="006D58DE" w:rsidP="00284FCD">
      <w:pPr>
        <w:rPr>
          <w:rFonts w:cs="Arial"/>
          <w:lang w:val="en-GB"/>
        </w:rPr>
      </w:pPr>
      <w:r>
        <w:rPr>
          <w:rFonts w:cs="Arial"/>
          <w:lang w:val="en-GB"/>
        </w:rPr>
        <w:t>Q4.3</w:t>
      </w:r>
      <w:r w:rsidR="00E11D84">
        <w:rPr>
          <w:rFonts w:cs="Arial"/>
          <w:lang w:val="en-GB"/>
        </w:rPr>
        <w:t xml:space="preserve"> </w:t>
      </w:r>
      <w:r w:rsidR="00213C15">
        <w:rPr>
          <w:rFonts w:cs="Arial"/>
          <w:lang w:val="en-GB"/>
        </w:rPr>
        <w:t xml:space="preserve">was </w:t>
      </w:r>
      <w:r w:rsidR="00E11D84">
        <w:rPr>
          <w:rFonts w:cs="Arial"/>
          <w:lang w:val="en-GB"/>
        </w:rPr>
        <w:t xml:space="preserve">scored with </w:t>
      </w:r>
      <w:r w:rsidR="008177B9">
        <w:rPr>
          <w:rFonts w:cs="Arial"/>
          <w:lang w:val="en-GB"/>
        </w:rPr>
        <w:t>‘</w:t>
      </w:r>
      <w:r w:rsidR="00E11D84">
        <w:rPr>
          <w:rFonts w:cs="Arial"/>
          <w:lang w:val="en-GB"/>
        </w:rPr>
        <w:t>Unaligned</w:t>
      </w:r>
      <w:r w:rsidR="008177B9">
        <w:rPr>
          <w:rFonts w:cs="Arial"/>
          <w:lang w:val="en-GB"/>
        </w:rPr>
        <w:t>’</w:t>
      </w:r>
      <w:r w:rsidR="00E11D84">
        <w:rPr>
          <w:rFonts w:cs="Arial"/>
          <w:lang w:val="en-GB"/>
        </w:rPr>
        <w:t xml:space="preserve">. This assessment is based on the relatively </w:t>
      </w:r>
      <w:r w:rsidR="00490A47">
        <w:rPr>
          <w:rFonts w:cs="Arial"/>
          <w:lang w:val="en-GB"/>
        </w:rPr>
        <w:t xml:space="preserve">small share of </w:t>
      </w:r>
      <w:r w:rsidR="008D1A7A">
        <w:rPr>
          <w:rFonts w:cs="Arial"/>
          <w:lang w:val="en-GB"/>
        </w:rPr>
        <w:t xml:space="preserve">policies issued </w:t>
      </w:r>
      <w:r w:rsidR="00A14128">
        <w:rPr>
          <w:rFonts w:cs="Arial"/>
          <w:lang w:val="en-GB"/>
        </w:rPr>
        <w:t>in 2020 which are labelled as belonging to the ‘</w:t>
      </w:r>
      <w:r w:rsidR="00490A47">
        <w:rPr>
          <w:rFonts w:cs="Arial"/>
          <w:lang w:val="en-GB"/>
        </w:rPr>
        <w:t>renewable energy</w:t>
      </w:r>
      <w:r w:rsidR="00A14128">
        <w:rPr>
          <w:rFonts w:cs="Arial"/>
          <w:lang w:val="en-GB"/>
        </w:rPr>
        <w:t xml:space="preserve"> sector’ (</w:t>
      </w:r>
      <w:proofErr w:type="spellStart"/>
      <w:r w:rsidR="00A14128">
        <w:rPr>
          <w:rFonts w:cs="Arial"/>
          <w:i/>
          <w:lang w:val="en-GB"/>
        </w:rPr>
        <w:t>duurzame</w:t>
      </w:r>
      <w:proofErr w:type="spellEnd"/>
      <w:r w:rsidR="00A14128">
        <w:rPr>
          <w:rFonts w:cs="Arial"/>
          <w:i/>
          <w:lang w:val="en-GB"/>
        </w:rPr>
        <w:t xml:space="preserve"> </w:t>
      </w:r>
      <w:proofErr w:type="spellStart"/>
      <w:r w:rsidR="00A14128">
        <w:rPr>
          <w:rFonts w:cs="Arial"/>
          <w:i/>
          <w:lang w:val="en-GB"/>
        </w:rPr>
        <w:t>energie</w:t>
      </w:r>
      <w:proofErr w:type="spellEnd"/>
      <w:r w:rsidR="00A14128">
        <w:rPr>
          <w:rFonts w:cs="Arial"/>
          <w:lang w:val="en-GB"/>
        </w:rPr>
        <w:t>). This share</w:t>
      </w:r>
      <w:r w:rsidR="00490A47">
        <w:rPr>
          <w:rFonts w:cs="Arial"/>
          <w:lang w:val="en-GB"/>
        </w:rPr>
        <w:t xml:space="preserve"> </w:t>
      </w:r>
      <w:r w:rsidR="00A14128">
        <w:rPr>
          <w:rFonts w:cs="Arial"/>
          <w:lang w:val="en-GB"/>
        </w:rPr>
        <w:t xml:space="preserve">is reported to stand at </w:t>
      </w:r>
      <w:r w:rsidR="00AC2258">
        <w:rPr>
          <w:rFonts w:cs="Arial"/>
          <w:lang w:val="en-GB"/>
        </w:rPr>
        <w:t xml:space="preserve">7% of </w:t>
      </w:r>
      <w:r w:rsidR="00A14128">
        <w:rPr>
          <w:rFonts w:cs="Arial"/>
          <w:lang w:val="en-GB"/>
        </w:rPr>
        <w:t xml:space="preserve">all </w:t>
      </w:r>
      <w:r w:rsidR="00AC2258">
        <w:rPr>
          <w:rFonts w:cs="Arial"/>
          <w:lang w:val="en-GB"/>
        </w:rPr>
        <w:t>new policies</w:t>
      </w:r>
      <w:r w:rsidR="00A14128">
        <w:rPr>
          <w:rFonts w:cs="Arial"/>
          <w:lang w:val="en-GB"/>
        </w:rPr>
        <w:t xml:space="preserve"> issued</w:t>
      </w:r>
      <w:r w:rsidR="00CE2A2D">
        <w:rPr>
          <w:rFonts w:cs="Arial"/>
          <w:lang w:val="en-GB"/>
        </w:rPr>
        <w:t>, referring to an estimated nine projects</w:t>
      </w:r>
      <w:r w:rsidR="000E2EF2">
        <w:rPr>
          <w:rFonts w:cs="Arial"/>
          <w:lang w:val="en-GB"/>
        </w:rPr>
        <w:t xml:space="preserve"> (Atradius DSB 2021a)</w:t>
      </w:r>
      <w:r w:rsidR="00CE2A2D">
        <w:rPr>
          <w:rFonts w:cs="Arial"/>
          <w:lang w:val="en-GB"/>
        </w:rPr>
        <w:t>.</w:t>
      </w:r>
      <w:r w:rsidR="00A37574">
        <w:rPr>
          <w:rFonts w:cs="Arial"/>
          <w:lang w:val="en-GB"/>
        </w:rPr>
        <w:t xml:space="preserve"> </w:t>
      </w:r>
      <w:r w:rsidR="00716637">
        <w:rPr>
          <w:rFonts w:cs="Arial"/>
          <w:lang w:val="en-GB"/>
        </w:rPr>
        <w:t>In previous</w:t>
      </w:r>
      <w:r w:rsidR="0031324C">
        <w:rPr>
          <w:rFonts w:cs="Arial"/>
          <w:lang w:val="en-GB"/>
        </w:rPr>
        <w:t xml:space="preserve"> annual</w:t>
      </w:r>
      <w:r w:rsidR="00716637">
        <w:rPr>
          <w:rFonts w:cs="Arial"/>
          <w:lang w:val="en-GB"/>
        </w:rPr>
        <w:t xml:space="preserve"> reports, </w:t>
      </w:r>
      <w:r w:rsidR="0031324C">
        <w:rPr>
          <w:rFonts w:cs="Arial"/>
          <w:lang w:val="en-GB"/>
        </w:rPr>
        <w:t xml:space="preserve">the renewable energy sector did not figure at all among the main sectors which received </w:t>
      </w:r>
      <w:r w:rsidR="00C164EF">
        <w:rPr>
          <w:rFonts w:cs="Arial"/>
          <w:lang w:val="en-GB"/>
        </w:rPr>
        <w:t xml:space="preserve">Atradius DSB´s </w:t>
      </w:r>
      <w:r w:rsidR="0031324C">
        <w:rPr>
          <w:rFonts w:cs="Arial"/>
          <w:lang w:val="en-GB"/>
        </w:rPr>
        <w:t>support</w:t>
      </w:r>
      <w:r w:rsidR="00C164EF">
        <w:rPr>
          <w:rFonts w:cs="Arial"/>
          <w:lang w:val="en-GB"/>
        </w:rPr>
        <w:t xml:space="preserve"> – which is in line with Both ENDS´ (2019) assessment</w:t>
      </w:r>
      <w:r w:rsidR="008A3B64">
        <w:rPr>
          <w:rFonts w:cs="Arial"/>
          <w:lang w:val="en-GB"/>
        </w:rPr>
        <w:t xml:space="preserve"> that found the vast majority of support in the energy sector going to fossil fuel value </w:t>
      </w:r>
      <w:r w:rsidR="008A3B64">
        <w:rPr>
          <w:rFonts w:cs="Arial"/>
          <w:lang w:val="en-GB"/>
        </w:rPr>
        <w:lastRenderedPageBreak/>
        <w:t>chains</w:t>
      </w:r>
      <w:r w:rsidR="0031324C">
        <w:rPr>
          <w:rFonts w:cs="Arial"/>
          <w:lang w:val="en-GB"/>
        </w:rPr>
        <w:t>.</w:t>
      </w:r>
      <w:r w:rsidR="00ED32BC">
        <w:rPr>
          <w:rFonts w:cs="Arial"/>
          <w:lang w:val="en-GB"/>
        </w:rPr>
        <w:t xml:space="preserve"> </w:t>
      </w:r>
      <w:r w:rsidR="0093474E">
        <w:rPr>
          <w:rFonts w:cs="Arial"/>
          <w:lang w:val="en-GB"/>
        </w:rPr>
        <w:t>T</w:t>
      </w:r>
      <w:r w:rsidR="00ED32BC">
        <w:rPr>
          <w:rFonts w:cs="Arial"/>
          <w:lang w:val="en-GB"/>
        </w:rPr>
        <w:t>he</w:t>
      </w:r>
      <w:r w:rsidR="00FF422A">
        <w:rPr>
          <w:rFonts w:cs="Arial"/>
          <w:lang w:val="en-GB"/>
        </w:rPr>
        <w:t>se</w:t>
      </w:r>
      <w:r w:rsidR="0093474E">
        <w:rPr>
          <w:rFonts w:cs="Arial"/>
          <w:lang w:val="en-GB"/>
        </w:rPr>
        <w:t xml:space="preserve"> </w:t>
      </w:r>
      <w:r w:rsidR="00ED32BC">
        <w:rPr>
          <w:rFonts w:cs="Arial"/>
          <w:lang w:val="en-GB"/>
        </w:rPr>
        <w:t>nine</w:t>
      </w:r>
      <w:r w:rsidR="007B3E4A">
        <w:rPr>
          <w:rFonts w:cs="Arial"/>
          <w:lang w:val="en-GB"/>
        </w:rPr>
        <w:t xml:space="preserve"> renewable energy sector</w:t>
      </w:r>
      <w:r w:rsidR="00ED32BC">
        <w:rPr>
          <w:rFonts w:cs="Arial"/>
          <w:lang w:val="en-GB"/>
        </w:rPr>
        <w:t xml:space="preserve"> projects</w:t>
      </w:r>
      <w:r w:rsidR="00D21C7A">
        <w:rPr>
          <w:rFonts w:cs="Arial"/>
          <w:lang w:val="en-GB"/>
        </w:rPr>
        <w:t xml:space="preserve"> </w:t>
      </w:r>
      <w:r w:rsidR="00ED32BC">
        <w:rPr>
          <w:rFonts w:cs="Arial"/>
          <w:lang w:val="en-GB"/>
        </w:rPr>
        <w:t xml:space="preserve">figure among the 14 </w:t>
      </w:r>
      <w:r w:rsidR="007D33F0">
        <w:rPr>
          <w:rFonts w:cs="Arial"/>
          <w:lang w:val="en-GB"/>
        </w:rPr>
        <w:t>projects classified as ‘green’ in 2020</w:t>
      </w:r>
      <w:r w:rsidR="0011638B">
        <w:rPr>
          <w:rFonts w:cs="Arial"/>
          <w:lang w:val="en-GB"/>
        </w:rPr>
        <w:t xml:space="preserve"> </w:t>
      </w:r>
      <w:r w:rsidR="00FF7C46">
        <w:rPr>
          <w:rFonts w:cs="Arial"/>
          <w:lang w:val="en-GB"/>
        </w:rPr>
        <w:t>which</w:t>
      </w:r>
      <w:r w:rsidR="00131919">
        <w:rPr>
          <w:rFonts w:cs="Arial"/>
          <w:lang w:val="en-GB"/>
        </w:rPr>
        <w:t>, taken</w:t>
      </w:r>
      <w:r w:rsidR="00FF7C46">
        <w:rPr>
          <w:rFonts w:cs="Arial"/>
          <w:lang w:val="en-GB"/>
        </w:rPr>
        <w:t xml:space="preserve"> </w:t>
      </w:r>
      <w:r w:rsidR="0011638B">
        <w:rPr>
          <w:rFonts w:cs="Arial"/>
          <w:lang w:val="en-GB"/>
        </w:rPr>
        <w:t>together</w:t>
      </w:r>
      <w:r w:rsidR="00131919">
        <w:rPr>
          <w:rFonts w:cs="Arial"/>
          <w:lang w:val="en-GB"/>
        </w:rPr>
        <w:t>,</w:t>
      </w:r>
      <w:r w:rsidR="0011638B">
        <w:rPr>
          <w:rFonts w:cs="Arial"/>
          <w:lang w:val="en-GB"/>
        </w:rPr>
        <w:t xml:space="preserve"> represent 49% of the total new insured value</w:t>
      </w:r>
      <w:r w:rsidR="00773270">
        <w:rPr>
          <w:rFonts w:cs="Arial"/>
          <w:lang w:val="en-GB"/>
        </w:rPr>
        <w:t xml:space="preserve"> (</w:t>
      </w:r>
      <w:r w:rsidR="00D75E39">
        <w:rPr>
          <w:rFonts w:cs="Arial"/>
          <w:lang w:val="en-GB"/>
        </w:rPr>
        <w:t>more than four billion euros</w:t>
      </w:r>
      <w:r w:rsidR="00A57F08">
        <w:rPr>
          <w:rFonts w:cs="Arial"/>
          <w:lang w:val="en-GB"/>
        </w:rPr>
        <w:t>)</w:t>
      </w:r>
      <w:r w:rsidR="00D75E39">
        <w:rPr>
          <w:rFonts w:cs="Arial"/>
          <w:lang w:val="en-GB"/>
        </w:rPr>
        <w:t>.</w:t>
      </w:r>
      <w:r w:rsidR="006B47AA">
        <w:rPr>
          <w:rFonts w:cs="Arial"/>
          <w:lang w:val="en-GB"/>
        </w:rPr>
        <w:t xml:space="preserve"> </w:t>
      </w:r>
      <w:r w:rsidR="00A9136D">
        <w:rPr>
          <w:rFonts w:cs="Arial"/>
          <w:lang w:val="en-GB"/>
        </w:rPr>
        <w:t xml:space="preserve">In terms of volume, these </w:t>
      </w:r>
      <w:r w:rsidR="006B47AA">
        <w:rPr>
          <w:rFonts w:cs="Arial"/>
          <w:lang w:val="en-GB"/>
        </w:rPr>
        <w:t xml:space="preserve">projects </w:t>
      </w:r>
      <w:r w:rsidR="00A9136D">
        <w:rPr>
          <w:rFonts w:cs="Arial"/>
          <w:lang w:val="en-GB"/>
        </w:rPr>
        <w:t xml:space="preserve">are </w:t>
      </w:r>
      <w:r w:rsidR="006B47AA">
        <w:rPr>
          <w:rFonts w:cs="Arial"/>
          <w:lang w:val="en-GB"/>
        </w:rPr>
        <w:t>disproportionately large</w:t>
      </w:r>
      <w:r w:rsidR="00C74257">
        <w:rPr>
          <w:rFonts w:cs="Arial"/>
          <w:lang w:val="en-GB"/>
        </w:rPr>
        <w:t xml:space="preserve"> compared to other projects insured in 2020</w:t>
      </w:r>
      <w:r w:rsidR="00A9136D">
        <w:rPr>
          <w:rFonts w:cs="Arial"/>
          <w:lang w:val="en-GB"/>
        </w:rPr>
        <w:t>.</w:t>
      </w:r>
      <w:r w:rsidR="006B47AA">
        <w:rPr>
          <w:rFonts w:cs="Arial"/>
          <w:lang w:val="en-GB"/>
        </w:rPr>
        <w:t xml:space="preserve"> </w:t>
      </w:r>
      <w:r w:rsidR="00DA4BD9">
        <w:rPr>
          <w:rFonts w:cs="Arial"/>
          <w:lang w:val="en-GB"/>
        </w:rPr>
        <w:t>However, due to the lacking definitions and granularity of reporting in the energy sector we cannot establish the exact amount insured of renewable energy financing, neither per year, nor as a share over the total portfolio</w:t>
      </w:r>
      <w:r w:rsidR="00D0395F">
        <w:rPr>
          <w:rFonts w:cs="Arial"/>
          <w:lang w:val="en-GB"/>
        </w:rPr>
        <w:t xml:space="preserve">, without </w:t>
      </w:r>
      <w:r w:rsidR="00341AD9">
        <w:rPr>
          <w:rFonts w:cs="Arial"/>
          <w:lang w:val="en-GB"/>
        </w:rPr>
        <w:t xml:space="preserve">tediously </w:t>
      </w:r>
      <w:r w:rsidR="00D0395F">
        <w:rPr>
          <w:rFonts w:cs="Arial"/>
          <w:lang w:val="en-GB"/>
        </w:rPr>
        <w:t xml:space="preserve">re-classifying each insurance on an individual basis. </w:t>
      </w:r>
    </w:p>
    <w:p w14:paraId="6F5A5516" w14:textId="2204F9D7" w:rsidR="00181A3E" w:rsidRDefault="007006E6" w:rsidP="00284FCD">
      <w:pPr>
        <w:rPr>
          <w:rFonts w:cs="Arial"/>
          <w:lang w:val="en-GB"/>
        </w:rPr>
      </w:pPr>
      <w:r>
        <w:rPr>
          <w:rFonts w:cs="Arial"/>
          <w:lang w:val="en-GB"/>
        </w:rPr>
        <w:t xml:space="preserve">This is why we recommend </w:t>
      </w:r>
      <w:r w:rsidR="003B4900">
        <w:rPr>
          <w:rFonts w:cs="Arial"/>
          <w:lang w:val="en-GB"/>
        </w:rPr>
        <w:t>reporting</w:t>
      </w:r>
      <w:r>
        <w:rPr>
          <w:rFonts w:cs="Arial"/>
          <w:lang w:val="en-GB"/>
        </w:rPr>
        <w:t xml:space="preserve"> the</w:t>
      </w:r>
      <w:r w:rsidR="000F2ECC">
        <w:rPr>
          <w:rFonts w:cs="Arial"/>
          <w:lang w:val="en-GB"/>
        </w:rPr>
        <w:t xml:space="preserve"> number of policies per sector, the corresponding financial volumes</w:t>
      </w:r>
      <w:r w:rsidR="003D539D">
        <w:rPr>
          <w:rFonts w:cs="Arial"/>
          <w:lang w:val="en-GB"/>
        </w:rPr>
        <w:t xml:space="preserve"> per sector</w:t>
      </w:r>
      <w:r w:rsidR="000F2ECC">
        <w:rPr>
          <w:rFonts w:cs="Arial"/>
          <w:lang w:val="en-GB"/>
        </w:rPr>
        <w:t xml:space="preserve"> as well as the </w:t>
      </w:r>
      <w:r w:rsidR="003D539D">
        <w:rPr>
          <w:rFonts w:cs="Arial"/>
          <w:lang w:val="en-GB"/>
        </w:rPr>
        <w:t xml:space="preserve">corresponding </w:t>
      </w:r>
      <w:r w:rsidR="00CD038B">
        <w:rPr>
          <w:rFonts w:cs="Arial"/>
          <w:lang w:val="en-GB"/>
        </w:rPr>
        <w:t xml:space="preserve">information in the ex-post classification system at </w:t>
      </w:r>
      <w:r>
        <w:rPr>
          <w:rFonts w:cs="Arial"/>
          <w:lang w:val="en-GB"/>
        </w:rPr>
        <w:t xml:space="preserve">project-level </w:t>
      </w:r>
      <w:r w:rsidR="000F2ECC">
        <w:rPr>
          <w:rFonts w:cs="Arial"/>
          <w:lang w:val="en-GB"/>
        </w:rPr>
        <w:t>basis</w:t>
      </w:r>
      <w:r w:rsidR="00A55A5D">
        <w:rPr>
          <w:rFonts w:cs="Arial"/>
          <w:lang w:val="en-GB"/>
        </w:rPr>
        <w:t xml:space="preserve"> (</w:t>
      </w:r>
      <w:r w:rsidR="00D61C18">
        <w:rPr>
          <w:rFonts w:cs="Arial"/>
          <w:lang w:val="en-GB"/>
        </w:rPr>
        <w:t xml:space="preserve">i.e., see </w:t>
      </w:r>
      <w:r w:rsidR="00A55A5D">
        <w:rPr>
          <w:rFonts w:cs="Arial"/>
          <w:lang w:val="en-GB"/>
        </w:rPr>
        <w:t>Atradius DSB 2021d)</w:t>
      </w:r>
      <w:r w:rsidR="00CD038B">
        <w:rPr>
          <w:rFonts w:cs="Arial"/>
          <w:lang w:val="en-GB"/>
        </w:rPr>
        <w:t>.</w:t>
      </w:r>
      <w:r w:rsidR="00181A3E">
        <w:rPr>
          <w:rFonts w:cs="Arial"/>
          <w:lang w:val="en-GB"/>
        </w:rPr>
        <w:t xml:space="preserve"> W</w:t>
      </w:r>
      <w:r w:rsidR="002906DD">
        <w:rPr>
          <w:rFonts w:cs="Arial"/>
          <w:lang w:val="en-GB"/>
        </w:rPr>
        <w:t xml:space="preserve">e suggest </w:t>
      </w:r>
      <w:r w:rsidR="00342318">
        <w:rPr>
          <w:rFonts w:cs="Arial"/>
          <w:lang w:val="en-GB"/>
        </w:rPr>
        <w:t>defining</w:t>
      </w:r>
      <w:r w:rsidR="002906DD">
        <w:rPr>
          <w:rFonts w:cs="Arial"/>
          <w:lang w:val="en-GB"/>
        </w:rPr>
        <w:t xml:space="preserve"> the energy sector </w:t>
      </w:r>
      <w:r w:rsidR="00FE4296">
        <w:rPr>
          <w:rFonts w:cs="Arial"/>
          <w:lang w:val="en-GB"/>
        </w:rPr>
        <w:t xml:space="preserve">for both fossil- and clean-related value chains </w:t>
      </w:r>
      <w:r w:rsidR="005E11CA">
        <w:rPr>
          <w:rFonts w:cs="Arial"/>
          <w:lang w:val="en-GB"/>
        </w:rPr>
        <w:t xml:space="preserve">based on </w:t>
      </w:r>
      <w:r w:rsidR="00175C06">
        <w:rPr>
          <w:rFonts w:cs="Arial"/>
          <w:lang w:val="en-GB"/>
        </w:rPr>
        <w:t xml:space="preserve">common </w:t>
      </w:r>
      <w:r w:rsidR="005E11CA">
        <w:rPr>
          <w:rFonts w:cs="Arial"/>
          <w:lang w:val="en-GB"/>
        </w:rPr>
        <w:t xml:space="preserve">approaches </w:t>
      </w:r>
      <w:r w:rsidR="00181A3E">
        <w:rPr>
          <w:rFonts w:cs="Arial"/>
          <w:lang w:val="en-GB"/>
        </w:rPr>
        <w:t xml:space="preserve">as outlined under </w:t>
      </w:r>
      <w:r w:rsidR="00EB7782">
        <w:rPr>
          <w:rFonts w:cs="Arial"/>
          <w:lang w:val="en-GB"/>
        </w:rPr>
        <w:t>Q3.2.</w:t>
      </w:r>
    </w:p>
    <w:p w14:paraId="777F15D0" w14:textId="77777777" w:rsidR="001274B2" w:rsidRPr="00FC1E5A" w:rsidRDefault="001274B2" w:rsidP="001274B2">
      <w:pPr>
        <w:rPr>
          <w:rFonts w:cs="Arial"/>
          <w:b/>
          <w:bCs/>
          <w:lang w:val="en-GB"/>
        </w:rPr>
      </w:pPr>
      <w:r w:rsidRPr="00FC1E5A">
        <w:rPr>
          <w:rFonts w:cs="Arial"/>
          <w:b/>
          <w:bCs/>
          <w:lang w:val="en-GB"/>
        </w:rPr>
        <w:t>Q4.4: To what extent does the pricing structure take into account climate impacts of activities?</w:t>
      </w:r>
    </w:p>
    <w:p w14:paraId="6174D142" w14:textId="77777777" w:rsidR="00A23B3D" w:rsidRDefault="006D58DE" w:rsidP="009D25CE">
      <w:pPr>
        <w:rPr>
          <w:rFonts w:cs="Arial"/>
          <w:lang w:val="en-GB"/>
        </w:rPr>
      </w:pPr>
      <w:r>
        <w:rPr>
          <w:rFonts w:cs="Arial"/>
          <w:lang w:val="en-GB"/>
        </w:rPr>
        <w:t>Q4.4</w:t>
      </w:r>
      <w:r w:rsidR="009D25CE">
        <w:rPr>
          <w:rFonts w:cs="Arial"/>
          <w:lang w:val="en-GB"/>
        </w:rPr>
        <w:t xml:space="preserve"> </w:t>
      </w:r>
      <w:r w:rsidR="00213C15">
        <w:rPr>
          <w:rFonts w:cs="Arial"/>
          <w:lang w:val="en-GB"/>
        </w:rPr>
        <w:t xml:space="preserve">was </w:t>
      </w:r>
      <w:r w:rsidR="009D25CE">
        <w:rPr>
          <w:rFonts w:cs="Arial"/>
          <w:lang w:val="en-GB"/>
        </w:rPr>
        <w:t xml:space="preserve">rated with ‘Some progress’. This evaluation is based on </w:t>
      </w:r>
      <w:r w:rsidR="00342318">
        <w:rPr>
          <w:rFonts w:cs="Arial"/>
          <w:lang w:val="en-GB"/>
        </w:rPr>
        <w:t>several</w:t>
      </w:r>
      <w:r w:rsidR="009D25CE">
        <w:rPr>
          <w:rFonts w:cs="Arial"/>
          <w:lang w:val="en-GB"/>
        </w:rPr>
        <w:t xml:space="preserve"> special instruments introduced to make green exports more attractive</w:t>
      </w:r>
      <w:r w:rsidR="008B3D8D">
        <w:rPr>
          <w:rFonts w:cs="Arial"/>
          <w:lang w:val="en-GB"/>
        </w:rPr>
        <w:t xml:space="preserve"> (Atradius DSB 2021b).</w:t>
      </w:r>
      <w:r w:rsidR="007E1247">
        <w:rPr>
          <w:rFonts w:cs="Arial"/>
          <w:lang w:val="en-GB"/>
        </w:rPr>
        <w:t xml:space="preserve"> These instruments </w:t>
      </w:r>
      <w:r w:rsidR="00265938">
        <w:rPr>
          <w:rFonts w:cs="Arial"/>
          <w:lang w:val="en-GB"/>
        </w:rPr>
        <w:t xml:space="preserve">are designed for exports which can be classified as </w:t>
      </w:r>
      <w:r w:rsidR="007E1247">
        <w:rPr>
          <w:rFonts w:cs="Arial"/>
          <w:lang w:val="en-GB"/>
        </w:rPr>
        <w:t>‘green’ according to the ‘Green Label’</w:t>
      </w:r>
      <w:r w:rsidR="009353E2">
        <w:rPr>
          <w:rFonts w:cs="Arial"/>
          <w:lang w:val="en-GB"/>
        </w:rPr>
        <w:t xml:space="preserve"> and include</w:t>
      </w:r>
      <w:r w:rsidR="00A23B3D">
        <w:rPr>
          <w:rFonts w:cs="Arial"/>
          <w:lang w:val="en-GB"/>
        </w:rPr>
        <w:t xml:space="preserve"> the following</w:t>
      </w:r>
      <w:r w:rsidR="0018531F">
        <w:rPr>
          <w:rFonts w:cs="Arial"/>
          <w:lang w:val="en-GB"/>
        </w:rPr>
        <w:t xml:space="preserve"> </w:t>
      </w:r>
      <w:r w:rsidR="00681BDB">
        <w:rPr>
          <w:rFonts w:cs="Arial"/>
          <w:lang w:val="en-GB"/>
        </w:rPr>
        <w:t>(</w:t>
      </w:r>
      <w:r w:rsidR="00681BDB">
        <w:rPr>
          <w:rFonts w:cs="Arial"/>
          <w:i/>
          <w:lang w:val="en-GB"/>
        </w:rPr>
        <w:t>ibid</w:t>
      </w:r>
      <w:r w:rsidR="00681BDB">
        <w:rPr>
          <w:rFonts w:cs="Arial"/>
          <w:lang w:val="en-GB"/>
        </w:rPr>
        <w:t>.)</w:t>
      </w:r>
      <w:r w:rsidR="00A23B3D">
        <w:rPr>
          <w:rFonts w:cs="Arial"/>
          <w:lang w:val="en-GB"/>
        </w:rPr>
        <w:t xml:space="preserve">: </w:t>
      </w:r>
    </w:p>
    <w:p w14:paraId="598CC530" w14:textId="77777777" w:rsidR="007C5807" w:rsidRDefault="0018531F" w:rsidP="007C5807">
      <w:pPr>
        <w:pStyle w:val="Listenabsatz"/>
        <w:numPr>
          <w:ilvl w:val="0"/>
          <w:numId w:val="33"/>
        </w:numPr>
        <w:rPr>
          <w:rFonts w:cs="Arial"/>
          <w:lang w:val="en-GB"/>
        </w:rPr>
      </w:pPr>
      <w:r>
        <w:rPr>
          <w:rFonts w:cs="Arial"/>
          <w:lang w:val="en-GB"/>
        </w:rPr>
        <w:t>B</w:t>
      </w:r>
      <w:r w:rsidRPr="0018531F">
        <w:rPr>
          <w:rFonts w:cs="Arial"/>
          <w:lang w:val="en-GB"/>
        </w:rPr>
        <w:t>roader Dutch content policy for green project finance</w:t>
      </w:r>
      <w:r w:rsidR="003C557A">
        <w:rPr>
          <w:rFonts w:cs="Arial"/>
          <w:lang w:val="en-GB"/>
        </w:rPr>
        <w:t xml:space="preserve">: This means that </w:t>
      </w:r>
      <w:r w:rsidR="001E416B" w:rsidRPr="00A23B3D">
        <w:rPr>
          <w:rFonts w:cs="Arial"/>
          <w:lang w:val="en-GB"/>
        </w:rPr>
        <w:t>green projects</w:t>
      </w:r>
      <w:r w:rsidR="001E416B">
        <w:rPr>
          <w:rFonts w:cs="Arial"/>
          <w:lang w:val="en-GB"/>
        </w:rPr>
        <w:t xml:space="preserve"> can obtain </w:t>
      </w:r>
      <w:r w:rsidR="001E416B" w:rsidRPr="00A23B3D">
        <w:rPr>
          <w:rFonts w:cs="Arial"/>
          <w:lang w:val="en-GB"/>
        </w:rPr>
        <w:t>higher maximum insured amounts</w:t>
      </w:r>
      <w:r w:rsidR="001E416B">
        <w:rPr>
          <w:rFonts w:cs="Arial"/>
          <w:lang w:val="en-GB"/>
        </w:rPr>
        <w:t xml:space="preserve"> </w:t>
      </w:r>
      <w:r w:rsidR="001E416B" w:rsidRPr="00A23B3D">
        <w:rPr>
          <w:rFonts w:cs="Arial"/>
          <w:lang w:val="en-GB"/>
        </w:rPr>
        <w:t xml:space="preserve">(up to 95% compared to </w:t>
      </w:r>
      <w:r w:rsidR="00244B71">
        <w:rPr>
          <w:rFonts w:cs="Arial"/>
          <w:lang w:val="en-GB"/>
        </w:rPr>
        <w:t xml:space="preserve">the standard </w:t>
      </w:r>
      <w:r w:rsidR="001E416B" w:rsidRPr="00A23B3D">
        <w:rPr>
          <w:rFonts w:cs="Arial"/>
          <w:lang w:val="en-GB"/>
        </w:rPr>
        <w:t>70-90% coverage)</w:t>
      </w:r>
      <w:r w:rsidR="00244B71">
        <w:rPr>
          <w:rFonts w:cs="Arial"/>
          <w:lang w:val="en-GB"/>
        </w:rPr>
        <w:t>.</w:t>
      </w:r>
    </w:p>
    <w:p w14:paraId="0875B814" w14:textId="77777777" w:rsidR="00C270E9" w:rsidRDefault="00C270E9" w:rsidP="007C5807">
      <w:pPr>
        <w:pStyle w:val="Listenabsatz"/>
        <w:numPr>
          <w:ilvl w:val="0"/>
          <w:numId w:val="33"/>
        </w:numPr>
        <w:rPr>
          <w:rFonts w:cs="Arial"/>
          <w:lang w:val="en-GB"/>
        </w:rPr>
      </w:pPr>
      <w:r w:rsidRPr="00C270E9">
        <w:rPr>
          <w:rFonts w:cs="Arial"/>
          <w:lang w:val="en-GB"/>
        </w:rPr>
        <w:t>Relaxed underwriting criteria for small green transactions</w:t>
      </w:r>
      <w:r>
        <w:rPr>
          <w:rFonts w:cs="Arial"/>
          <w:lang w:val="en-GB"/>
        </w:rPr>
        <w:t xml:space="preserve">: This means that </w:t>
      </w:r>
      <w:r w:rsidR="001316FF">
        <w:rPr>
          <w:rFonts w:cs="Arial"/>
          <w:lang w:val="en-GB"/>
        </w:rPr>
        <w:t xml:space="preserve">project applications </w:t>
      </w:r>
      <w:r w:rsidR="001316FF" w:rsidRPr="001316FF">
        <w:rPr>
          <w:rFonts w:cs="Arial"/>
          <w:lang w:val="en-GB"/>
        </w:rPr>
        <w:t>up to EUR 5 million</w:t>
      </w:r>
      <w:r w:rsidR="001316FF">
        <w:rPr>
          <w:rFonts w:cs="Arial"/>
          <w:lang w:val="en-GB"/>
        </w:rPr>
        <w:t xml:space="preserve"> </w:t>
      </w:r>
      <w:r w:rsidR="00C008C1">
        <w:rPr>
          <w:rFonts w:cs="Arial"/>
          <w:lang w:val="en-GB"/>
        </w:rPr>
        <w:t xml:space="preserve">can also be accepted that otherwise would be assessed as </w:t>
      </w:r>
      <w:r w:rsidR="00B52E3D">
        <w:rPr>
          <w:rFonts w:cs="Arial"/>
          <w:lang w:val="en-GB"/>
        </w:rPr>
        <w:t>‘</w:t>
      </w:r>
      <w:r w:rsidR="00C008C1">
        <w:rPr>
          <w:rFonts w:cs="Arial"/>
          <w:lang w:val="en-GB"/>
        </w:rPr>
        <w:t>risky</w:t>
      </w:r>
      <w:r w:rsidR="00B52E3D">
        <w:rPr>
          <w:rFonts w:cs="Arial"/>
          <w:lang w:val="en-GB"/>
        </w:rPr>
        <w:t>’</w:t>
      </w:r>
      <w:r w:rsidR="00C008C1">
        <w:rPr>
          <w:rFonts w:cs="Arial"/>
          <w:lang w:val="en-GB"/>
        </w:rPr>
        <w:t xml:space="preserve"> according to regular criteria and relaxed terms can be applied, such as longer repayment periods</w:t>
      </w:r>
      <w:r w:rsidR="00244B71">
        <w:rPr>
          <w:rFonts w:cs="Arial"/>
          <w:lang w:val="en-GB"/>
        </w:rPr>
        <w:t>.</w:t>
      </w:r>
    </w:p>
    <w:p w14:paraId="2723917D" w14:textId="77777777" w:rsidR="007034E1" w:rsidRDefault="007034E1" w:rsidP="007034E1">
      <w:pPr>
        <w:pStyle w:val="Listenabsatz"/>
        <w:numPr>
          <w:ilvl w:val="0"/>
          <w:numId w:val="33"/>
        </w:numPr>
        <w:rPr>
          <w:rFonts w:cs="Arial"/>
          <w:lang w:val="en-GB"/>
        </w:rPr>
      </w:pPr>
      <w:r>
        <w:rPr>
          <w:rFonts w:cs="Arial"/>
          <w:lang w:val="en-GB"/>
        </w:rPr>
        <w:t xml:space="preserve">Broader definition of ‘exports’: This means that green transactions can become eligible for coverage if the </w:t>
      </w:r>
      <w:r w:rsidRPr="007034E1">
        <w:rPr>
          <w:rFonts w:cs="Arial"/>
          <w:lang w:val="en-GB"/>
        </w:rPr>
        <w:t>transaction</w:t>
      </w:r>
      <w:r>
        <w:rPr>
          <w:rFonts w:cs="Arial"/>
          <w:lang w:val="en-GB"/>
        </w:rPr>
        <w:t xml:space="preserve"> takes place</w:t>
      </w:r>
      <w:r w:rsidRPr="007034E1">
        <w:rPr>
          <w:rFonts w:cs="Arial"/>
          <w:lang w:val="en-GB"/>
        </w:rPr>
        <w:t xml:space="preserve"> between Dutch companies and domestic buyers</w:t>
      </w:r>
      <w:r>
        <w:rPr>
          <w:rFonts w:cs="Arial"/>
          <w:lang w:val="en-GB"/>
        </w:rPr>
        <w:t xml:space="preserve"> that can demonstrate the export potential of </w:t>
      </w:r>
      <w:r w:rsidR="00B51FF0">
        <w:rPr>
          <w:rFonts w:cs="Arial"/>
          <w:lang w:val="en-GB"/>
        </w:rPr>
        <w:t xml:space="preserve">the </w:t>
      </w:r>
      <w:r>
        <w:rPr>
          <w:rFonts w:cs="Arial"/>
          <w:lang w:val="en-GB"/>
        </w:rPr>
        <w:t>capital good</w:t>
      </w:r>
      <w:r w:rsidR="004D2424">
        <w:rPr>
          <w:rFonts w:cs="Arial"/>
          <w:lang w:val="en-GB"/>
        </w:rPr>
        <w:t xml:space="preserve"> involved</w:t>
      </w:r>
      <w:r w:rsidR="00244B71">
        <w:rPr>
          <w:rFonts w:cs="Arial"/>
          <w:lang w:val="en-GB"/>
        </w:rPr>
        <w:t>.</w:t>
      </w:r>
    </w:p>
    <w:p w14:paraId="1A91210F" w14:textId="29A01FA8" w:rsidR="0094066B" w:rsidRDefault="004E7F75" w:rsidP="009D25CE">
      <w:pPr>
        <w:rPr>
          <w:rFonts w:cs="Arial"/>
          <w:lang w:val="en-GB"/>
        </w:rPr>
      </w:pPr>
      <w:r w:rsidRPr="007034E1">
        <w:rPr>
          <w:rFonts w:cs="Arial"/>
          <w:lang w:val="en-GB"/>
        </w:rPr>
        <w:t>However</w:t>
      </w:r>
      <w:r w:rsidR="002213A0">
        <w:rPr>
          <w:rFonts w:cs="Arial"/>
          <w:lang w:val="en-GB"/>
        </w:rPr>
        <w:t>,</w:t>
      </w:r>
      <w:r w:rsidR="00253A95">
        <w:rPr>
          <w:rFonts w:cs="Arial"/>
          <w:lang w:val="en-GB"/>
        </w:rPr>
        <w:t xml:space="preserve"> Atradius DSB</w:t>
      </w:r>
      <w:r w:rsidR="0033340B">
        <w:rPr>
          <w:rFonts w:cs="Arial"/>
          <w:lang w:val="en-GB"/>
        </w:rPr>
        <w:t xml:space="preserve"> </w:t>
      </w:r>
      <w:r w:rsidR="00253A95">
        <w:rPr>
          <w:rFonts w:cs="Arial"/>
          <w:lang w:val="en-GB"/>
        </w:rPr>
        <w:t>applies</w:t>
      </w:r>
      <w:r w:rsidRPr="007034E1">
        <w:rPr>
          <w:rFonts w:cs="Arial"/>
          <w:lang w:val="en-GB"/>
        </w:rPr>
        <w:t xml:space="preserve"> no price discrimination for premiums paid by exporters or banks based on the</w:t>
      </w:r>
      <w:r w:rsidR="007B520A" w:rsidRPr="007034E1">
        <w:rPr>
          <w:rFonts w:cs="Arial"/>
          <w:lang w:val="en-GB"/>
        </w:rPr>
        <w:t xml:space="preserve"> </w:t>
      </w:r>
      <w:r w:rsidR="001B133C" w:rsidRPr="007034E1">
        <w:rPr>
          <w:rFonts w:cs="Arial"/>
          <w:lang w:val="en-GB"/>
        </w:rPr>
        <w:t>actual or proxied</w:t>
      </w:r>
      <w:r w:rsidRPr="007034E1">
        <w:rPr>
          <w:rFonts w:cs="Arial"/>
          <w:lang w:val="en-GB"/>
        </w:rPr>
        <w:t xml:space="preserve"> emission intensity of</w:t>
      </w:r>
      <w:r w:rsidR="007B520A" w:rsidRPr="007034E1">
        <w:rPr>
          <w:rFonts w:cs="Arial"/>
          <w:lang w:val="en-GB"/>
        </w:rPr>
        <w:t xml:space="preserve"> maximum</w:t>
      </w:r>
      <w:r w:rsidRPr="007034E1">
        <w:rPr>
          <w:rFonts w:cs="Arial"/>
          <w:lang w:val="en-GB"/>
        </w:rPr>
        <w:t xml:space="preserve"> insured</w:t>
      </w:r>
      <w:r w:rsidR="007B520A" w:rsidRPr="007034E1">
        <w:rPr>
          <w:rFonts w:cs="Arial"/>
          <w:lang w:val="en-GB"/>
        </w:rPr>
        <w:t xml:space="preserve"> values is implemented or envisioned.</w:t>
      </w:r>
      <w:r w:rsidR="001B133C" w:rsidRPr="007034E1">
        <w:rPr>
          <w:rFonts w:cs="Arial"/>
          <w:lang w:val="en-GB"/>
        </w:rPr>
        <w:t xml:space="preserve"> While such an approach would ideally require information about the actual emissions of an activity</w:t>
      </w:r>
      <w:r w:rsidR="00951D97" w:rsidRPr="007034E1">
        <w:rPr>
          <w:rFonts w:cs="Arial"/>
          <w:lang w:val="en-GB"/>
        </w:rPr>
        <w:t xml:space="preserve"> across all scopes, </w:t>
      </w:r>
      <w:r w:rsidR="00A91513" w:rsidRPr="007034E1">
        <w:rPr>
          <w:rFonts w:cs="Arial"/>
          <w:lang w:val="en-GB"/>
        </w:rPr>
        <w:t>in a less ideal world this can be proxied</w:t>
      </w:r>
      <w:r w:rsidR="009606DD">
        <w:rPr>
          <w:rFonts w:cs="Arial"/>
          <w:lang w:val="en-GB"/>
        </w:rPr>
        <w:t xml:space="preserve"> </w:t>
      </w:r>
      <w:r w:rsidR="00FF49F1">
        <w:rPr>
          <w:rFonts w:cs="Arial"/>
          <w:lang w:val="en-GB"/>
        </w:rPr>
        <w:t>at the</w:t>
      </w:r>
      <w:r w:rsidR="00104FD2">
        <w:rPr>
          <w:rFonts w:cs="Arial"/>
          <w:lang w:val="en-GB"/>
        </w:rPr>
        <w:t xml:space="preserve"> sectoral</w:t>
      </w:r>
      <w:r w:rsidR="00F26F10">
        <w:rPr>
          <w:rFonts w:cs="Arial"/>
          <w:lang w:val="en-GB"/>
        </w:rPr>
        <w:t>-</w:t>
      </w:r>
      <w:r w:rsidR="00104FD2">
        <w:rPr>
          <w:rFonts w:cs="Arial"/>
          <w:lang w:val="en-GB"/>
        </w:rPr>
        <w:t xml:space="preserve"> or</w:t>
      </w:r>
      <w:r w:rsidR="009606DD">
        <w:rPr>
          <w:rFonts w:cs="Arial"/>
          <w:lang w:val="en-GB"/>
        </w:rPr>
        <w:t xml:space="preserve"> activity-level</w:t>
      </w:r>
      <w:r w:rsidR="00A91513" w:rsidRPr="007034E1">
        <w:rPr>
          <w:rFonts w:cs="Arial"/>
          <w:lang w:val="en-GB"/>
        </w:rPr>
        <w:t>.</w:t>
      </w:r>
      <w:r w:rsidR="000D3AB5">
        <w:rPr>
          <w:rFonts w:cs="Arial"/>
          <w:lang w:val="en-GB"/>
        </w:rPr>
        <w:t xml:space="preserve"> </w:t>
      </w:r>
      <w:r w:rsidR="003B4900" w:rsidRPr="003B4900">
        <w:rPr>
          <w:rFonts w:cs="Arial"/>
          <w:lang w:val="en-GB"/>
        </w:rPr>
        <w:t xml:space="preserve">In a letter to Parliament in November 2020, a green incentive structure was proposed, which aims to extend the scope of the regular </w:t>
      </w:r>
      <w:proofErr w:type="spellStart"/>
      <w:r w:rsidR="003B4900" w:rsidRPr="003B4900">
        <w:rPr>
          <w:rFonts w:cs="Arial"/>
          <w:lang w:val="en-GB"/>
        </w:rPr>
        <w:t>ekv</w:t>
      </w:r>
      <w:proofErr w:type="spellEnd"/>
      <w:r w:rsidR="003B4900" w:rsidRPr="003B4900">
        <w:rPr>
          <w:rFonts w:cs="Arial"/>
          <w:lang w:val="en-GB"/>
        </w:rPr>
        <w:t xml:space="preserve"> instruments for green export transactions through, among other things, more favourable premium conditions</w:t>
      </w:r>
      <w:r w:rsidR="003B4900">
        <w:rPr>
          <w:rFonts w:cs="Arial"/>
          <w:lang w:val="en-GB"/>
        </w:rPr>
        <w:t xml:space="preserve"> (</w:t>
      </w:r>
      <w:r w:rsidR="003B4900" w:rsidRPr="00D41D73">
        <w:rPr>
          <w:rFonts w:cs="Arial"/>
          <w:lang w:val="en-GB"/>
        </w:rPr>
        <w:t>Ministry of Finance 20</w:t>
      </w:r>
      <w:r w:rsidR="003B4900">
        <w:rPr>
          <w:rFonts w:cs="Arial"/>
          <w:lang w:val="en-GB"/>
        </w:rPr>
        <w:t>20)</w:t>
      </w:r>
      <w:r w:rsidR="000D3AB5">
        <w:rPr>
          <w:rFonts w:cs="Arial"/>
          <w:lang w:val="en-GB"/>
        </w:rPr>
        <w:t>.</w:t>
      </w:r>
      <w:r w:rsidR="003B4900">
        <w:rPr>
          <w:rFonts w:cs="Arial"/>
          <w:lang w:val="en-GB"/>
        </w:rPr>
        <w:t xml:space="preserve"> </w:t>
      </w:r>
      <w:r w:rsidR="005A0DE1">
        <w:rPr>
          <w:rFonts w:cs="Arial"/>
          <w:lang w:val="en-GB"/>
        </w:rPr>
        <w:t>Depending on its ambition, the</w:t>
      </w:r>
      <w:r w:rsidR="003B4900">
        <w:rPr>
          <w:rFonts w:cs="Arial"/>
          <w:lang w:val="en-GB"/>
        </w:rPr>
        <w:t xml:space="preserve"> implementation </w:t>
      </w:r>
      <w:r w:rsidR="005A0DE1">
        <w:rPr>
          <w:rFonts w:cs="Arial"/>
          <w:lang w:val="en-GB"/>
        </w:rPr>
        <w:t xml:space="preserve">of such an incentive system </w:t>
      </w:r>
      <w:r w:rsidR="003B4900">
        <w:rPr>
          <w:rFonts w:cs="Arial"/>
          <w:lang w:val="en-GB"/>
        </w:rPr>
        <w:t xml:space="preserve">would </w:t>
      </w:r>
      <w:r w:rsidR="00394855">
        <w:rPr>
          <w:rFonts w:cs="Arial"/>
          <w:lang w:val="en-GB"/>
        </w:rPr>
        <w:t xml:space="preserve">result in a ‘Paris-aligned’ rating of </w:t>
      </w:r>
      <w:r w:rsidR="003B4900">
        <w:rPr>
          <w:rFonts w:cs="Arial"/>
          <w:lang w:val="en-GB"/>
        </w:rPr>
        <w:t>Atradius DSB</w:t>
      </w:r>
      <w:r w:rsidR="00394855">
        <w:rPr>
          <w:rFonts w:cs="Arial"/>
          <w:lang w:val="en-GB"/>
        </w:rPr>
        <w:t xml:space="preserve">. </w:t>
      </w:r>
      <w:r w:rsidR="0092491F" w:rsidRPr="007034E1">
        <w:rPr>
          <w:rFonts w:cs="Arial"/>
          <w:lang w:val="en-GB"/>
        </w:rPr>
        <w:t>Note</w:t>
      </w:r>
      <w:r w:rsidR="00327CC1">
        <w:rPr>
          <w:rFonts w:cs="Arial"/>
          <w:lang w:val="en-GB"/>
        </w:rPr>
        <w:t>, however,</w:t>
      </w:r>
      <w:r w:rsidR="0092491F" w:rsidRPr="007034E1">
        <w:rPr>
          <w:rFonts w:cs="Arial"/>
          <w:lang w:val="en-GB"/>
        </w:rPr>
        <w:t xml:space="preserve"> that in the case of fossil fuel value chains we recommend the use of an immediate exclusion</w:t>
      </w:r>
      <w:r w:rsidR="00270775">
        <w:rPr>
          <w:rFonts w:cs="Arial"/>
          <w:lang w:val="en-GB"/>
        </w:rPr>
        <w:t xml:space="preserve"> </w:t>
      </w:r>
      <w:r w:rsidR="0092491F" w:rsidRPr="007034E1">
        <w:rPr>
          <w:rFonts w:cs="Arial"/>
          <w:lang w:val="en-GB"/>
        </w:rPr>
        <w:t xml:space="preserve">rather than an </w:t>
      </w:r>
      <w:r w:rsidR="002262CB">
        <w:rPr>
          <w:rFonts w:cs="Arial"/>
          <w:lang w:val="en-GB"/>
        </w:rPr>
        <w:t>(dis-)</w:t>
      </w:r>
      <w:r w:rsidR="0092491F" w:rsidRPr="007034E1">
        <w:rPr>
          <w:rFonts w:cs="Arial"/>
          <w:lang w:val="en-GB"/>
        </w:rPr>
        <w:t>incentivization system.</w:t>
      </w:r>
    </w:p>
    <w:p w14:paraId="4CADFC36" w14:textId="77777777" w:rsidR="001274B2" w:rsidRPr="00FC1E5A" w:rsidRDefault="001274B2" w:rsidP="001274B2">
      <w:pPr>
        <w:rPr>
          <w:rFonts w:cs="Arial"/>
          <w:b/>
          <w:bCs/>
          <w:lang w:val="en-GB"/>
        </w:rPr>
      </w:pPr>
      <w:r w:rsidRPr="00FC1E5A">
        <w:rPr>
          <w:rFonts w:cs="Arial"/>
          <w:b/>
          <w:bCs/>
          <w:lang w:val="en-GB"/>
        </w:rPr>
        <w:t xml:space="preserve">Q4.5: In how far does the institution </w:t>
      </w:r>
      <w:r w:rsidR="00B57AA2" w:rsidRPr="00FC1E5A">
        <w:rPr>
          <w:rFonts w:cs="Arial"/>
          <w:b/>
          <w:bCs/>
          <w:lang w:val="en-GB"/>
        </w:rPr>
        <w:t xml:space="preserve">ensure </w:t>
      </w:r>
      <w:r w:rsidRPr="00FC1E5A">
        <w:rPr>
          <w:rFonts w:cs="Arial"/>
          <w:b/>
          <w:bCs/>
          <w:lang w:val="en-GB"/>
        </w:rPr>
        <w:t xml:space="preserve">sustainable development </w:t>
      </w:r>
      <w:r w:rsidR="00B57AA2" w:rsidRPr="00FC1E5A">
        <w:rPr>
          <w:rFonts w:cs="Arial"/>
          <w:b/>
          <w:bCs/>
          <w:lang w:val="en-GB"/>
        </w:rPr>
        <w:t>contributions from its activities</w:t>
      </w:r>
      <w:r w:rsidRPr="00FC1E5A">
        <w:rPr>
          <w:rFonts w:cs="Arial"/>
          <w:b/>
          <w:bCs/>
          <w:lang w:val="en-GB"/>
        </w:rPr>
        <w:t>?</w:t>
      </w:r>
    </w:p>
    <w:p w14:paraId="49B1938F" w14:textId="5DE1A429" w:rsidR="00D5268C" w:rsidRDefault="006D58DE" w:rsidP="000C07DF">
      <w:pPr>
        <w:rPr>
          <w:rFonts w:cs="Arial"/>
          <w:lang w:val="en-GB"/>
        </w:rPr>
      </w:pPr>
      <w:r>
        <w:rPr>
          <w:rFonts w:cs="Arial"/>
          <w:lang w:val="en-GB"/>
        </w:rPr>
        <w:lastRenderedPageBreak/>
        <w:t xml:space="preserve">Q4.5 </w:t>
      </w:r>
      <w:r w:rsidR="00213C15">
        <w:rPr>
          <w:rFonts w:cs="Arial"/>
          <w:lang w:val="en-GB"/>
        </w:rPr>
        <w:t xml:space="preserve">was </w:t>
      </w:r>
      <w:r w:rsidR="00BF7900">
        <w:rPr>
          <w:rFonts w:cs="Arial"/>
          <w:lang w:val="en-GB"/>
        </w:rPr>
        <w:t xml:space="preserve">scored with </w:t>
      </w:r>
      <w:r w:rsidR="008805F1" w:rsidRPr="00FC1E5A">
        <w:rPr>
          <w:rFonts w:cs="Arial"/>
          <w:lang w:val="en-GB"/>
        </w:rPr>
        <w:t>‘</w:t>
      </w:r>
      <w:r w:rsidR="001274B2" w:rsidRPr="00FC1E5A">
        <w:rPr>
          <w:rFonts w:cs="Arial"/>
          <w:lang w:val="en-GB"/>
        </w:rPr>
        <w:t>Some progress</w:t>
      </w:r>
      <w:r w:rsidR="008805F1" w:rsidRPr="00FC1E5A">
        <w:rPr>
          <w:rFonts w:cs="Arial"/>
          <w:lang w:val="en-GB"/>
        </w:rPr>
        <w:t>’</w:t>
      </w:r>
      <w:r w:rsidR="00BF7900">
        <w:rPr>
          <w:rFonts w:cs="Arial"/>
          <w:lang w:val="en-GB"/>
        </w:rPr>
        <w:t xml:space="preserve">. Atradius DSB </w:t>
      </w:r>
      <w:r w:rsidR="00132EC5">
        <w:rPr>
          <w:rFonts w:cs="Arial"/>
          <w:lang w:val="en-GB"/>
        </w:rPr>
        <w:t>adheres to a number of social and environmental principles and codes of conduct, including the OECD Common Approaches, the IFC Performance Standards, the UN Guiding Principles on Business and Human Rights and the OECD Guidelines for Multinational Enterprises (</w:t>
      </w:r>
      <w:r w:rsidR="00132EC5" w:rsidRPr="00D41D73">
        <w:rPr>
          <w:rFonts w:cs="Arial"/>
          <w:lang w:val="en-GB"/>
        </w:rPr>
        <w:t>Atradius DSB 2021</w:t>
      </w:r>
      <w:r w:rsidR="00CD3FD0">
        <w:rPr>
          <w:rFonts w:cs="Arial"/>
          <w:lang w:val="en-GB"/>
        </w:rPr>
        <w:t>c</w:t>
      </w:r>
      <w:r w:rsidR="00132EC5" w:rsidRPr="00D41D73">
        <w:rPr>
          <w:rFonts w:cs="Arial"/>
          <w:lang w:val="en-GB"/>
        </w:rPr>
        <w:t>)</w:t>
      </w:r>
      <w:r w:rsidR="00132EC5">
        <w:rPr>
          <w:rFonts w:cs="Arial"/>
          <w:lang w:val="en-GB"/>
        </w:rPr>
        <w:t xml:space="preserve">. We positively evaluate that </w:t>
      </w:r>
      <w:r w:rsidR="007E3609">
        <w:rPr>
          <w:rFonts w:cs="Arial"/>
          <w:lang w:val="en-GB"/>
        </w:rPr>
        <w:t xml:space="preserve">Atradius DSB also conducts </w:t>
      </w:r>
      <w:r w:rsidR="00132EC5" w:rsidRPr="00132EC5">
        <w:rPr>
          <w:rFonts w:cs="Arial"/>
          <w:lang w:val="en-GB"/>
        </w:rPr>
        <w:t>environmental and social due diligence</w:t>
      </w:r>
      <w:r w:rsidR="007E3609">
        <w:rPr>
          <w:rFonts w:cs="Arial"/>
          <w:lang w:val="en-GB"/>
        </w:rPr>
        <w:t xml:space="preserve"> for smaller transactions (below EUR 10 million) </w:t>
      </w:r>
      <w:r w:rsidR="00132EC5">
        <w:rPr>
          <w:rFonts w:cs="Arial"/>
          <w:lang w:val="en-GB"/>
        </w:rPr>
        <w:t>if they take place in sensitive areas</w:t>
      </w:r>
      <w:r w:rsidR="00CF4578">
        <w:rPr>
          <w:rFonts w:cs="Arial"/>
          <w:lang w:val="en-GB"/>
        </w:rPr>
        <w:t xml:space="preserve"> or sectors</w:t>
      </w:r>
      <w:r w:rsidR="00132EC5">
        <w:rPr>
          <w:rFonts w:cs="Arial"/>
          <w:lang w:val="en-GB"/>
        </w:rPr>
        <w:t xml:space="preserve"> </w:t>
      </w:r>
      <w:r w:rsidR="009F3F25">
        <w:rPr>
          <w:rFonts w:cs="Arial"/>
          <w:lang w:val="en-GB"/>
        </w:rPr>
        <w:t xml:space="preserve">(e.g., oil- and gas related) </w:t>
      </w:r>
      <w:r w:rsidR="00CF4578">
        <w:rPr>
          <w:rFonts w:cs="Arial"/>
          <w:lang w:val="en-GB"/>
        </w:rPr>
        <w:t xml:space="preserve">or if the likelihood of project-related </w:t>
      </w:r>
      <w:r w:rsidR="0081128B">
        <w:rPr>
          <w:rFonts w:cs="Arial"/>
          <w:lang w:val="en-GB"/>
        </w:rPr>
        <w:t>human rights violations is high (</w:t>
      </w:r>
      <w:r w:rsidR="0081128B">
        <w:rPr>
          <w:rFonts w:cs="Arial"/>
          <w:i/>
          <w:lang w:val="en-GB"/>
        </w:rPr>
        <w:t>ibid</w:t>
      </w:r>
      <w:r w:rsidR="0081128B">
        <w:rPr>
          <w:rFonts w:cs="Arial"/>
          <w:lang w:val="en-GB"/>
        </w:rPr>
        <w:t xml:space="preserve">.). </w:t>
      </w:r>
      <w:r w:rsidR="008F6E45">
        <w:rPr>
          <w:rFonts w:cs="Arial"/>
          <w:lang w:val="en-GB"/>
        </w:rPr>
        <w:t xml:space="preserve">For smaller sized projects this goes beyond for what the </w:t>
      </w:r>
      <w:r w:rsidR="00E94525" w:rsidRPr="00EC285E">
        <w:rPr>
          <w:rFonts w:cs="Arial"/>
          <w:lang w:val="en-GB"/>
        </w:rPr>
        <w:t>Common Approaches</w:t>
      </w:r>
      <w:r w:rsidR="00E94525">
        <w:rPr>
          <w:rFonts w:cs="Arial"/>
          <w:i/>
          <w:lang w:val="en-GB"/>
        </w:rPr>
        <w:t xml:space="preserve"> </w:t>
      </w:r>
      <w:r w:rsidR="00E94525">
        <w:rPr>
          <w:rFonts w:cs="Arial"/>
          <w:lang w:val="en-GB"/>
        </w:rPr>
        <w:t xml:space="preserve">(OECD </w:t>
      </w:r>
      <w:r w:rsidR="001D7AB3">
        <w:rPr>
          <w:rFonts w:cs="Arial"/>
          <w:lang w:val="en-GB"/>
        </w:rPr>
        <w:t>2016)</w:t>
      </w:r>
      <w:r w:rsidR="008A7227">
        <w:rPr>
          <w:rFonts w:cs="Arial"/>
          <w:lang w:val="en-GB"/>
        </w:rPr>
        <w:t xml:space="preserve"> </w:t>
      </w:r>
      <w:r w:rsidR="008F6E45">
        <w:rPr>
          <w:rFonts w:cs="Arial"/>
          <w:lang w:val="en-GB"/>
        </w:rPr>
        <w:t xml:space="preserve">require. At the same time, </w:t>
      </w:r>
      <w:r w:rsidR="00E11AFC">
        <w:rPr>
          <w:rFonts w:cs="Arial"/>
          <w:lang w:val="en-GB"/>
        </w:rPr>
        <w:t xml:space="preserve">we </w:t>
      </w:r>
      <w:r w:rsidR="008F6E45">
        <w:rPr>
          <w:rFonts w:cs="Arial"/>
          <w:lang w:val="en-GB"/>
        </w:rPr>
        <w:t xml:space="preserve">cannot </w:t>
      </w:r>
      <w:r w:rsidR="00E11AFC">
        <w:rPr>
          <w:rFonts w:cs="Arial"/>
          <w:lang w:val="en-GB"/>
        </w:rPr>
        <w:t xml:space="preserve">provide better scoring due to repeated </w:t>
      </w:r>
      <w:r w:rsidR="00327CC1">
        <w:rPr>
          <w:rFonts w:cs="Arial"/>
          <w:lang w:val="en-GB"/>
        </w:rPr>
        <w:t xml:space="preserve">bad </w:t>
      </w:r>
      <w:r w:rsidR="00E11AFC">
        <w:rPr>
          <w:rFonts w:cs="Arial"/>
          <w:lang w:val="en-GB"/>
        </w:rPr>
        <w:t>press</w:t>
      </w:r>
      <w:r w:rsidR="00CF6230">
        <w:rPr>
          <w:rFonts w:cs="Arial"/>
          <w:lang w:val="en-GB"/>
        </w:rPr>
        <w:t xml:space="preserve"> or NGO</w:t>
      </w:r>
      <w:r w:rsidR="00C45B48">
        <w:rPr>
          <w:rFonts w:cs="Arial"/>
          <w:lang w:val="en-GB"/>
        </w:rPr>
        <w:t xml:space="preserve"> communications </w:t>
      </w:r>
      <w:r w:rsidR="00CF6230">
        <w:rPr>
          <w:rFonts w:cs="Arial"/>
          <w:lang w:val="en-GB"/>
        </w:rPr>
        <w:t xml:space="preserve">on </w:t>
      </w:r>
      <w:r w:rsidR="005143C3">
        <w:rPr>
          <w:rFonts w:cs="Arial"/>
          <w:lang w:val="en-GB"/>
        </w:rPr>
        <w:t xml:space="preserve">socially and environmentally harmful consequences </w:t>
      </w:r>
      <w:r w:rsidR="00F43080">
        <w:rPr>
          <w:rFonts w:cs="Arial"/>
          <w:lang w:val="en-GB"/>
        </w:rPr>
        <w:t>in the context of officially supported projects in Dutch export finance</w:t>
      </w:r>
      <w:r w:rsidR="00E96855">
        <w:rPr>
          <w:rFonts w:cs="Arial"/>
          <w:lang w:val="en-GB"/>
        </w:rPr>
        <w:t xml:space="preserve"> (e.g., Both ENDS 2021</w:t>
      </w:r>
      <w:r w:rsidR="00BF2ACB">
        <w:rPr>
          <w:rFonts w:cs="Arial"/>
          <w:lang w:val="en-GB"/>
        </w:rPr>
        <w:t xml:space="preserve">b; </w:t>
      </w:r>
      <w:proofErr w:type="spellStart"/>
      <w:r w:rsidR="00033E83" w:rsidRPr="00033E83">
        <w:rPr>
          <w:rFonts w:cs="Arial"/>
          <w:lang w:val="en-GB"/>
        </w:rPr>
        <w:t>Milieudefensie</w:t>
      </w:r>
      <w:proofErr w:type="spellEnd"/>
      <w:r w:rsidR="00033E83" w:rsidRPr="00033E83">
        <w:rPr>
          <w:rFonts w:cs="Arial"/>
          <w:lang w:val="en-GB"/>
        </w:rPr>
        <w:t xml:space="preserve"> 2020</w:t>
      </w:r>
      <w:r w:rsidR="00E96855">
        <w:rPr>
          <w:rFonts w:cs="Arial"/>
          <w:lang w:val="en-GB"/>
        </w:rPr>
        <w:t>).</w:t>
      </w:r>
      <w:r w:rsidR="009F3F25">
        <w:rPr>
          <w:rFonts w:cs="Arial"/>
          <w:lang w:val="en-GB"/>
        </w:rPr>
        <w:t xml:space="preserve"> This is </w:t>
      </w:r>
      <w:r w:rsidR="002A4D85">
        <w:rPr>
          <w:rFonts w:cs="Arial"/>
          <w:lang w:val="en-GB"/>
        </w:rPr>
        <w:t>frequently</w:t>
      </w:r>
      <w:r w:rsidR="009F3F25">
        <w:rPr>
          <w:rFonts w:cs="Arial"/>
          <w:lang w:val="en-GB"/>
        </w:rPr>
        <w:t xml:space="preserve"> the case in </w:t>
      </w:r>
      <w:r w:rsidR="002A4D85">
        <w:rPr>
          <w:rFonts w:cs="Arial"/>
          <w:lang w:val="en-GB"/>
        </w:rPr>
        <w:t>large-scale infrastructure projects in the oil and gas sectors in which Dutch exporters are active, such as the</w:t>
      </w:r>
      <w:r w:rsidR="00841F5A">
        <w:rPr>
          <w:rFonts w:cs="Arial"/>
          <w:lang w:val="en-GB"/>
        </w:rPr>
        <w:t xml:space="preserve"> example of support for infrastructure for a controversial natural gas project </w:t>
      </w:r>
      <w:r w:rsidR="00327CC1">
        <w:rPr>
          <w:rFonts w:cs="Arial"/>
          <w:lang w:val="en-GB"/>
        </w:rPr>
        <w:t>in Mozambique discussed</w:t>
      </w:r>
      <w:r w:rsidR="00841F5A">
        <w:rPr>
          <w:rFonts w:cs="Arial"/>
          <w:lang w:val="en-GB"/>
        </w:rPr>
        <w:t xml:space="preserve"> under Q2.3</w:t>
      </w:r>
      <w:r w:rsidR="00CB0BCA">
        <w:rPr>
          <w:rFonts w:cs="Arial"/>
          <w:lang w:val="en-GB"/>
        </w:rPr>
        <w:t>.</w:t>
      </w:r>
      <w:r w:rsidR="002A4D85">
        <w:rPr>
          <w:rFonts w:cs="Arial"/>
          <w:lang w:val="en-GB"/>
        </w:rPr>
        <w:t xml:space="preserve"> </w:t>
      </w:r>
      <w:r w:rsidR="00D17CBB">
        <w:rPr>
          <w:rFonts w:cs="Arial"/>
          <w:lang w:val="en-GB"/>
        </w:rPr>
        <w:t>Moreover, the</w:t>
      </w:r>
      <w:r w:rsidR="00777A6C">
        <w:rPr>
          <w:rFonts w:cs="Arial"/>
          <w:lang w:val="en-GB"/>
        </w:rPr>
        <w:t xml:space="preserve"> Dutch ECA currently</w:t>
      </w:r>
      <w:r w:rsidR="00D17CBB">
        <w:rPr>
          <w:rFonts w:cs="Arial"/>
          <w:lang w:val="en-GB"/>
        </w:rPr>
        <w:t xml:space="preserve"> issu</w:t>
      </w:r>
      <w:r w:rsidR="00777A6C">
        <w:rPr>
          <w:rFonts w:cs="Arial"/>
          <w:lang w:val="en-GB"/>
        </w:rPr>
        <w:t>es</w:t>
      </w:r>
      <w:r w:rsidR="00D17CBB">
        <w:rPr>
          <w:rFonts w:cs="Arial"/>
          <w:lang w:val="en-GB"/>
        </w:rPr>
        <w:t xml:space="preserve"> ‘promises of cover’ before </w:t>
      </w:r>
      <w:r w:rsidR="00BC0C96">
        <w:rPr>
          <w:rFonts w:cs="Arial"/>
          <w:lang w:val="en-GB"/>
        </w:rPr>
        <w:t xml:space="preserve">a </w:t>
      </w:r>
      <w:r w:rsidR="00664C8A">
        <w:rPr>
          <w:rFonts w:cs="Arial"/>
          <w:lang w:val="en-GB"/>
        </w:rPr>
        <w:t>deci</w:t>
      </w:r>
      <w:r w:rsidR="00BC0C96">
        <w:rPr>
          <w:rFonts w:cs="Arial"/>
          <w:lang w:val="en-GB"/>
        </w:rPr>
        <w:t>sion</w:t>
      </w:r>
      <w:r w:rsidR="00664C8A">
        <w:rPr>
          <w:rFonts w:cs="Arial"/>
          <w:lang w:val="en-GB"/>
        </w:rPr>
        <w:t xml:space="preserve"> on the need for social and environmental due diligence</w:t>
      </w:r>
      <w:r w:rsidR="00A41D5E">
        <w:rPr>
          <w:rFonts w:cs="Arial"/>
          <w:lang w:val="en-GB"/>
        </w:rPr>
        <w:t xml:space="preserve"> has been reached.</w:t>
      </w:r>
      <w:r w:rsidR="00480E5D">
        <w:rPr>
          <w:rFonts w:cs="Arial"/>
          <w:lang w:val="en-GB"/>
        </w:rPr>
        <w:t xml:space="preserve"> ‘Promises of cover’ are a formalized instrument which anticipates the issuance of official support</w:t>
      </w:r>
      <w:r w:rsidR="006F2CBB">
        <w:rPr>
          <w:rFonts w:cs="Arial"/>
          <w:lang w:val="en-GB"/>
        </w:rPr>
        <w:t xml:space="preserve"> through one of Atradius DSB´s instruments</w:t>
      </w:r>
      <w:r w:rsidR="00F249BA">
        <w:rPr>
          <w:rFonts w:cs="Arial"/>
          <w:lang w:val="en-GB"/>
        </w:rPr>
        <w:t xml:space="preserve"> – albeit contingent on a positive decision on the social and environmental due diligence</w:t>
      </w:r>
      <w:r w:rsidR="00480E5D">
        <w:rPr>
          <w:rFonts w:cs="Arial"/>
          <w:lang w:val="en-GB"/>
        </w:rPr>
        <w:t>.</w:t>
      </w:r>
      <w:r w:rsidR="00A41D5E">
        <w:rPr>
          <w:rFonts w:cs="Arial"/>
          <w:lang w:val="en-GB"/>
        </w:rPr>
        <w:t xml:space="preserve"> </w:t>
      </w:r>
      <w:r w:rsidR="00F620A4">
        <w:rPr>
          <w:rFonts w:cs="Arial"/>
          <w:lang w:val="en-GB"/>
        </w:rPr>
        <w:t xml:space="preserve">Repeated communications from </w:t>
      </w:r>
      <w:r w:rsidR="00095D28">
        <w:rPr>
          <w:rFonts w:cs="Arial"/>
          <w:lang w:val="en-GB"/>
        </w:rPr>
        <w:t xml:space="preserve">local </w:t>
      </w:r>
      <w:r w:rsidR="00F620A4">
        <w:rPr>
          <w:rFonts w:cs="Arial"/>
          <w:lang w:val="en-GB"/>
        </w:rPr>
        <w:t>stakeholders</w:t>
      </w:r>
      <w:r w:rsidR="00095D28">
        <w:rPr>
          <w:rFonts w:cs="Arial"/>
          <w:lang w:val="en-GB"/>
        </w:rPr>
        <w:t xml:space="preserve"> and international NGOs</w:t>
      </w:r>
      <w:r w:rsidR="00F620A4">
        <w:rPr>
          <w:rFonts w:cs="Arial"/>
          <w:lang w:val="en-GB"/>
        </w:rPr>
        <w:t xml:space="preserve"> have</w:t>
      </w:r>
      <w:r w:rsidR="00095D28">
        <w:rPr>
          <w:rFonts w:cs="Arial"/>
          <w:lang w:val="en-GB"/>
        </w:rPr>
        <w:t xml:space="preserve"> criticized this practice and emphasized the need to disclose </w:t>
      </w:r>
      <w:r w:rsidR="00FB3EBE">
        <w:rPr>
          <w:rFonts w:cs="Arial"/>
          <w:lang w:val="en-GB"/>
        </w:rPr>
        <w:t xml:space="preserve">decisions of ‘promises of cover’ </w:t>
      </w:r>
      <w:r w:rsidR="00FB3EBE" w:rsidRPr="002923FE">
        <w:rPr>
          <w:rFonts w:cs="Arial"/>
          <w:i/>
          <w:lang w:val="en-GB"/>
        </w:rPr>
        <w:t>ex ante</w:t>
      </w:r>
      <w:r w:rsidR="00752F30">
        <w:rPr>
          <w:rFonts w:cs="Arial"/>
          <w:lang w:val="en-GB"/>
        </w:rPr>
        <w:t xml:space="preserve">, at least </w:t>
      </w:r>
      <w:r w:rsidR="00FB3EBE">
        <w:rPr>
          <w:rFonts w:cs="Arial"/>
          <w:lang w:val="en-GB"/>
        </w:rPr>
        <w:t>for all Category A, B and C projects</w:t>
      </w:r>
      <w:r w:rsidR="00954B6F">
        <w:rPr>
          <w:rFonts w:cs="Arial"/>
          <w:lang w:val="en-GB"/>
        </w:rPr>
        <w:t>,</w:t>
      </w:r>
      <w:r w:rsidR="00FB3EBE">
        <w:rPr>
          <w:rFonts w:cs="Arial"/>
          <w:lang w:val="en-GB"/>
        </w:rPr>
        <w:t xml:space="preserve"> to enable </w:t>
      </w:r>
      <w:r w:rsidR="00F464AA">
        <w:rPr>
          <w:rFonts w:cs="Arial"/>
          <w:lang w:val="en-GB"/>
        </w:rPr>
        <w:t xml:space="preserve">and prepare </w:t>
      </w:r>
      <w:r w:rsidR="00FB3EBE">
        <w:rPr>
          <w:rFonts w:cs="Arial"/>
          <w:lang w:val="en-GB"/>
        </w:rPr>
        <w:t>meaningful and informed local stakeholder dialogues.</w:t>
      </w:r>
      <w:r w:rsidR="00207691">
        <w:rPr>
          <w:rFonts w:cs="Arial"/>
          <w:lang w:val="en-GB"/>
        </w:rPr>
        <w:t xml:space="preserve"> </w:t>
      </w:r>
    </w:p>
    <w:p w14:paraId="3C76BD06" w14:textId="78F53DEF" w:rsidR="004D40D6" w:rsidRDefault="00B915F3" w:rsidP="008F6E45">
      <w:pPr>
        <w:rPr>
          <w:rFonts w:cs="Arial"/>
          <w:lang w:val="en-GB"/>
        </w:rPr>
      </w:pPr>
      <w:r>
        <w:rPr>
          <w:rFonts w:cs="Arial"/>
          <w:lang w:val="en-GB"/>
        </w:rPr>
        <w:t>In the first place, w</w:t>
      </w:r>
      <w:r w:rsidR="008A3C25">
        <w:rPr>
          <w:rFonts w:cs="Arial"/>
          <w:lang w:val="en-GB"/>
        </w:rPr>
        <w:t xml:space="preserve">e recommend </w:t>
      </w:r>
      <w:r w:rsidR="00194E71">
        <w:rPr>
          <w:rFonts w:cs="Arial"/>
          <w:lang w:val="en-GB"/>
        </w:rPr>
        <w:t>tak</w:t>
      </w:r>
      <w:r w:rsidR="00243A5C">
        <w:rPr>
          <w:rFonts w:cs="Arial"/>
          <w:lang w:val="en-GB"/>
        </w:rPr>
        <w:t>ing</w:t>
      </w:r>
      <w:r w:rsidR="00194E71">
        <w:rPr>
          <w:rFonts w:cs="Arial"/>
          <w:lang w:val="en-GB"/>
        </w:rPr>
        <w:t xml:space="preserve"> a </w:t>
      </w:r>
      <w:r w:rsidR="00C66B9F">
        <w:rPr>
          <w:rFonts w:cs="Arial"/>
          <w:lang w:val="en-GB"/>
        </w:rPr>
        <w:t xml:space="preserve">more </w:t>
      </w:r>
      <w:r w:rsidR="00194E71">
        <w:rPr>
          <w:rFonts w:cs="Arial"/>
          <w:lang w:val="en-GB"/>
        </w:rPr>
        <w:t xml:space="preserve">precautionary approach </w:t>
      </w:r>
      <w:r w:rsidR="00327CC1">
        <w:rPr>
          <w:rFonts w:cs="Arial"/>
          <w:lang w:val="en-GB"/>
        </w:rPr>
        <w:t>to</w:t>
      </w:r>
      <w:r w:rsidR="00194E71">
        <w:rPr>
          <w:rFonts w:cs="Arial"/>
          <w:lang w:val="en-GB"/>
        </w:rPr>
        <w:t xml:space="preserve"> </w:t>
      </w:r>
      <w:r w:rsidR="00AD6E82">
        <w:rPr>
          <w:rFonts w:cs="Arial"/>
          <w:lang w:val="en-GB"/>
        </w:rPr>
        <w:t>avoiding</w:t>
      </w:r>
      <w:r w:rsidR="00194E71">
        <w:rPr>
          <w:rFonts w:cs="Arial"/>
          <w:lang w:val="en-GB"/>
        </w:rPr>
        <w:t xml:space="preserve"> adverse </w:t>
      </w:r>
      <w:r w:rsidR="00EC46B4">
        <w:rPr>
          <w:rFonts w:cs="Arial"/>
          <w:lang w:val="en-GB"/>
        </w:rPr>
        <w:t xml:space="preserve">social and environmental </w:t>
      </w:r>
      <w:r w:rsidR="00194E71">
        <w:rPr>
          <w:rFonts w:cs="Arial"/>
          <w:lang w:val="en-GB"/>
        </w:rPr>
        <w:t xml:space="preserve">consequences </w:t>
      </w:r>
      <w:r w:rsidR="00956373">
        <w:rPr>
          <w:rFonts w:cs="Arial"/>
          <w:lang w:val="en-GB"/>
        </w:rPr>
        <w:t xml:space="preserve">by </w:t>
      </w:r>
      <w:r w:rsidR="00867E94">
        <w:rPr>
          <w:rFonts w:cs="Arial"/>
          <w:lang w:val="en-GB"/>
        </w:rPr>
        <w:t>phasing out support to fossil fuel value chains</w:t>
      </w:r>
      <w:r w:rsidR="001001FB">
        <w:rPr>
          <w:rFonts w:cs="Arial"/>
          <w:lang w:val="en-GB"/>
        </w:rPr>
        <w:t>. These activity types</w:t>
      </w:r>
      <w:r w:rsidR="007F4704">
        <w:rPr>
          <w:rFonts w:cs="Arial"/>
          <w:lang w:val="en-GB"/>
        </w:rPr>
        <w:t xml:space="preserve"> </w:t>
      </w:r>
      <w:r w:rsidR="00C36DB4">
        <w:rPr>
          <w:rFonts w:cs="Arial"/>
          <w:lang w:val="en-GB"/>
        </w:rPr>
        <w:t xml:space="preserve">tend to more frequently stand in conflict with </w:t>
      </w:r>
      <w:r w:rsidR="00327CC1">
        <w:rPr>
          <w:rFonts w:cs="Arial"/>
          <w:lang w:val="en-GB"/>
        </w:rPr>
        <w:t>broader sustainable development goals</w:t>
      </w:r>
      <w:r w:rsidR="000E7E67">
        <w:rPr>
          <w:rFonts w:cs="Arial"/>
          <w:lang w:val="en-GB"/>
        </w:rPr>
        <w:t xml:space="preserve"> and </w:t>
      </w:r>
      <w:r w:rsidR="00A40F36">
        <w:rPr>
          <w:rFonts w:cs="Arial"/>
          <w:lang w:val="en-GB"/>
        </w:rPr>
        <w:t xml:space="preserve">essentially </w:t>
      </w:r>
      <w:r w:rsidR="000E7E67">
        <w:rPr>
          <w:rFonts w:cs="Arial"/>
          <w:lang w:val="en-GB"/>
        </w:rPr>
        <w:t>undermine climate objectives</w:t>
      </w:r>
      <w:r w:rsidR="00F673C8">
        <w:rPr>
          <w:rFonts w:cs="Arial"/>
          <w:lang w:val="en-GB"/>
        </w:rPr>
        <w:t>.</w:t>
      </w:r>
      <w:r w:rsidR="000E7E67">
        <w:rPr>
          <w:rFonts w:cs="Arial"/>
          <w:lang w:val="en-GB"/>
        </w:rPr>
        <w:t xml:space="preserve"> </w:t>
      </w:r>
      <w:r w:rsidR="0031779B">
        <w:rPr>
          <w:rFonts w:cs="Arial"/>
          <w:lang w:val="en-GB"/>
        </w:rPr>
        <w:t>Moreover</w:t>
      </w:r>
      <w:r w:rsidR="000E7E67">
        <w:rPr>
          <w:rFonts w:cs="Arial"/>
          <w:lang w:val="en-GB"/>
        </w:rPr>
        <w:t xml:space="preserve">, we recommend </w:t>
      </w:r>
      <w:r w:rsidR="00895661">
        <w:rPr>
          <w:rFonts w:cs="Arial"/>
          <w:lang w:val="en-GB"/>
        </w:rPr>
        <w:t>deciding</w:t>
      </w:r>
      <w:r w:rsidR="00FF4C1A">
        <w:rPr>
          <w:rFonts w:cs="Arial"/>
          <w:lang w:val="en-GB"/>
        </w:rPr>
        <w:t xml:space="preserve"> on the need for social and environmental due diligence</w:t>
      </w:r>
      <w:r w:rsidR="00BA2FA5">
        <w:rPr>
          <w:rFonts w:cs="Arial"/>
          <w:lang w:val="en-GB"/>
        </w:rPr>
        <w:t xml:space="preserve"> before the issuance of a ‘promise of cover’</w:t>
      </w:r>
      <w:r w:rsidR="00820DA3">
        <w:rPr>
          <w:rFonts w:cs="Arial"/>
          <w:lang w:val="en-GB"/>
        </w:rPr>
        <w:t xml:space="preserve"> and transparently </w:t>
      </w:r>
      <w:r w:rsidR="00722AB5">
        <w:rPr>
          <w:rFonts w:cs="Arial"/>
          <w:lang w:val="en-GB"/>
        </w:rPr>
        <w:t xml:space="preserve">disclose the reasoning </w:t>
      </w:r>
      <w:r w:rsidR="0040131E">
        <w:rPr>
          <w:rFonts w:cs="Arial"/>
          <w:lang w:val="en-GB"/>
        </w:rPr>
        <w:t>behind deciding in favour or against a project application</w:t>
      </w:r>
      <w:r w:rsidR="0044706B">
        <w:rPr>
          <w:rFonts w:cs="Arial"/>
          <w:lang w:val="en-GB"/>
        </w:rPr>
        <w:t xml:space="preserve">.  </w:t>
      </w:r>
    </w:p>
    <w:p w14:paraId="323E747C" w14:textId="117FD049" w:rsidR="001274B2" w:rsidRPr="004369DF" w:rsidRDefault="00C940CB" w:rsidP="004369DF">
      <w:pPr>
        <w:pStyle w:val="berschrift2"/>
        <w:ind w:left="431" w:hanging="431"/>
        <w:rPr>
          <w:rFonts w:ascii="Arial" w:hAnsi="Arial"/>
        </w:rPr>
      </w:pPr>
      <w:bookmarkStart w:id="23" w:name="_Toc82177920"/>
      <w:bookmarkStart w:id="24" w:name="_Toc84520032"/>
      <w:bookmarkEnd w:id="23"/>
      <w:r>
        <w:rPr>
          <w:rFonts w:ascii="Arial" w:hAnsi="Arial"/>
        </w:rPr>
        <w:t xml:space="preserve">Dimension </w:t>
      </w:r>
      <w:r w:rsidR="001274B2" w:rsidRPr="00FC1E5A">
        <w:rPr>
          <w:rFonts w:ascii="Arial" w:hAnsi="Arial"/>
        </w:rPr>
        <w:t>5: Engagement</w:t>
      </w:r>
      <w:r w:rsidR="006050F8">
        <w:rPr>
          <w:rFonts w:ascii="Arial" w:hAnsi="Arial"/>
        </w:rPr>
        <w:t xml:space="preserve"> -</w:t>
      </w:r>
      <w:r w:rsidR="004369DF">
        <w:rPr>
          <w:rFonts w:ascii="Arial" w:hAnsi="Arial"/>
        </w:rPr>
        <w:t xml:space="preserve"> </w:t>
      </w:r>
      <w:r w:rsidR="004369DF" w:rsidRPr="004369DF">
        <w:rPr>
          <w:rFonts w:ascii="Arial" w:hAnsi="Arial"/>
        </w:rPr>
        <w:t xml:space="preserve">Outreach and </w:t>
      </w:r>
      <w:r w:rsidR="008177B9">
        <w:rPr>
          <w:rFonts w:ascii="Arial" w:hAnsi="Arial"/>
        </w:rPr>
        <w:t>‘</w:t>
      </w:r>
      <w:r w:rsidR="004369DF" w:rsidRPr="004369DF">
        <w:rPr>
          <w:rFonts w:ascii="Arial" w:hAnsi="Arial"/>
        </w:rPr>
        <w:t>pro-activeness</w:t>
      </w:r>
      <w:r w:rsidR="008177B9">
        <w:rPr>
          <w:rFonts w:ascii="Arial" w:hAnsi="Arial"/>
        </w:rPr>
        <w:t>’</w:t>
      </w:r>
      <w:r w:rsidR="004369DF" w:rsidRPr="004369DF">
        <w:rPr>
          <w:rFonts w:ascii="Arial" w:hAnsi="Arial"/>
        </w:rPr>
        <w:t xml:space="preserve"> of ECAs and their governments</w:t>
      </w:r>
      <w:bookmarkEnd w:id="24"/>
    </w:p>
    <w:p w14:paraId="210782B4" w14:textId="77777777" w:rsidR="001F1E79" w:rsidRDefault="00B57A55" w:rsidP="001274B2">
      <w:pPr>
        <w:rPr>
          <w:rFonts w:cs="Arial"/>
          <w:lang w:val="en-GB"/>
        </w:rPr>
      </w:pPr>
      <w:r>
        <w:rPr>
          <w:rFonts w:cs="Arial"/>
          <w:lang w:val="en-GB"/>
        </w:rPr>
        <w:t>The fifth assessment dimension is underpinned</w:t>
      </w:r>
      <w:r w:rsidR="001274B2" w:rsidRPr="00FC1E5A">
        <w:rPr>
          <w:rFonts w:cs="Arial"/>
          <w:lang w:val="en-GB"/>
        </w:rPr>
        <w:t xml:space="preserve"> by </w:t>
      </w:r>
      <w:r w:rsidR="001274B2" w:rsidRPr="00B57A55">
        <w:rPr>
          <w:rFonts w:cs="Arial"/>
          <w:lang w:val="en-GB"/>
        </w:rPr>
        <w:t>three key questions</w:t>
      </w:r>
      <w:r>
        <w:rPr>
          <w:rFonts w:cs="Arial"/>
          <w:lang w:val="en-GB"/>
        </w:rPr>
        <w:t xml:space="preserve"> aimed at </w:t>
      </w:r>
      <w:r w:rsidR="001274B2" w:rsidRPr="00FC1E5A">
        <w:rPr>
          <w:rFonts w:cs="Arial"/>
          <w:lang w:val="en-GB"/>
        </w:rPr>
        <w:t>captur</w:t>
      </w:r>
      <w:r>
        <w:rPr>
          <w:rFonts w:cs="Arial"/>
          <w:lang w:val="en-GB"/>
        </w:rPr>
        <w:t>ing</w:t>
      </w:r>
      <w:r w:rsidR="001274B2" w:rsidRPr="00FC1E5A">
        <w:rPr>
          <w:rFonts w:cs="Arial"/>
          <w:lang w:val="en-GB"/>
        </w:rPr>
        <w:t xml:space="preserve"> the</w:t>
      </w:r>
      <w:r w:rsidR="0025483E">
        <w:rPr>
          <w:rFonts w:cs="Arial"/>
          <w:lang w:val="en-GB"/>
        </w:rPr>
        <w:t xml:space="preserve"> engagement</w:t>
      </w:r>
      <w:r w:rsidR="001274B2" w:rsidRPr="00FC1E5A">
        <w:rPr>
          <w:rFonts w:cs="Arial"/>
          <w:lang w:val="en-GB"/>
        </w:rPr>
        <w:t xml:space="preserve"> </w:t>
      </w:r>
      <w:r>
        <w:rPr>
          <w:rFonts w:cs="Arial"/>
          <w:lang w:val="en-GB"/>
        </w:rPr>
        <w:t xml:space="preserve">and ambition </w:t>
      </w:r>
      <w:r w:rsidR="001274B2" w:rsidRPr="00FC1E5A">
        <w:rPr>
          <w:rFonts w:cs="Arial"/>
          <w:lang w:val="en-GB"/>
        </w:rPr>
        <w:t xml:space="preserve">of </w:t>
      </w:r>
      <w:r w:rsidR="007A1DDA">
        <w:rPr>
          <w:rFonts w:cs="Arial"/>
          <w:lang w:val="en-GB"/>
        </w:rPr>
        <w:t>climate and sustainability policies of the</w:t>
      </w:r>
      <w:r>
        <w:rPr>
          <w:rFonts w:cs="Arial"/>
          <w:lang w:val="en-GB"/>
        </w:rPr>
        <w:t xml:space="preserve"> </w:t>
      </w:r>
      <w:r w:rsidR="001274B2" w:rsidRPr="00FC1E5A">
        <w:rPr>
          <w:rFonts w:cs="Arial"/>
          <w:lang w:val="en-GB"/>
        </w:rPr>
        <w:t>government</w:t>
      </w:r>
      <w:r>
        <w:rPr>
          <w:rFonts w:cs="Arial"/>
          <w:lang w:val="en-GB"/>
        </w:rPr>
        <w:t xml:space="preserve"> and its ECA </w:t>
      </w:r>
      <w:r w:rsidR="007A1DDA">
        <w:rPr>
          <w:rFonts w:cs="Arial"/>
          <w:lang w:val="en-GB"/>
        </w:rPr>
        <w:t xml:space="preserve">in </w:t>
      </w:r>
      <w:r>
        <w:rPr>
          <w:rFonts w:cs="Arial"/>
          <w:lang w:val="en-GB"/>
        </w:rPr>
        <w:t xml:space="preserve">international </w:t>
      </w:r>
      <w:r w:rsidR="00526605">
        <w:rPr>
          <w:rFonts w:cs="Arial"/>
          <w:lang w:val="en-GB"/>
        </w:rPr>
        <w:t>fora as well as with national exporters and banks</w:t>
      </w:r>
      <w:r w:rsidR="001274B2" w:rsidRPr="00FC1E5A">
        <w:rPr>
          <w:rFonts w:cs="Arial"/>
          <w:lang w:val="en-GB"/>
        </w:rPr>
        <w:t xml:space="preserve">. </w:t>
      </w:r>
      <w:r w:rsidR="00336C8B">
        <w:rPr>
          <w:rFonts w:cs="Arial"/>
          <w:lang w:val="en-GB"/>
        </w:rPr>
        <w:t>This dimension is weighted with 10%.</w:t>
      </w:r>
    </w:p>
    <w:p w14:paraId="382DFC12" w14:textId="010B15BC" w:rsidR="001274B2" w:rsidRPr="00FC1E5A" w:rsidRDefault="00FB2718" w:rsidP="001274B2">
      <w:pPr>
        <w:rPr>
          <w:rFonts w:cs="Arial"/>
          <w:lang w:val="en-GB"/>
        </w:rPr>
      </w:pPr>
      <w:r>
        <w:rPr>
          <w:rFonts w:cs="Arial"/>
          <w:b/>
          <w:bCs/>
          <w:lang w:val="en-GB"/>
        </w:rPr>
        <w:t>In this assessment dimension, Atradius DSB</w:t>
      </w:r>
      <w:r w:rsidR="001274B2" w:rsidRPr="00FC1E5A">
        <w:rPr>
          <w:rFonts w:cs="Arial"/>
          <w:b/>
          <w:bCs/>
          <w:lang w:val="en-GB"/>
        </w:rPr>
        <w:t xml:space="preserve"> </w:t>
      </w:r>
      <w:r w:rsidR="00F6360C">
        <w:rPr>
          <w:rFonts w:cs="Arial"/>
          <w:b/>
          <w:bCs/>
          <w:lang w:val="en-GB"/>
        </w:rPr>
        <w:t>is</w:t>
      </w:r>
      <w:r w:rsidR="001274B2" w:rsidRPr="00FC1E5A">
        <w:rPr>
          <w:rFonts w:cs="Arial"/>
          <w:b/>
          <w:bCs/>
          <w:lang w:val="en-GB"/>
        </w:rPr>
        <w:t xml:space="preserve"> rated </w:t>
      </w:r>
      <w:r w:rsidR="003A6962">
        <w:rPr>
          <w:rFonts w:cs="Arial"/>
          <w:b/>
          <w:bCs/>
          <w:lang w:val="en-GB"/>
        </w:rPr>
        <w:t xml:space="preserve">with </w:t>
      </w:r>
      <w:r w:rsidR="00BB37E9" w:rsidRPr="00FC1E5A">
        <w:rPr>
          <w:rFonts w:cs="Arial"/>
          <w:b/>
          <w:bCs/>
          <w:lang w:val="en-GB"/>
        </w:rPr>
        <w:t>‘</w:t>
      </w:r>
      <w:r w:rsidR="00051188">
        <w:rPr>
          <w:rFonts w:cs="Arial"/>
          <w:b/>
          <w:bCs/>
          <w:lang w:val="en-GB"/>
        </w:rPr>
        <w:t>S</w:t>
      </w:r>
      <w:r w:rsidR="001274B2" w:rsidRPr="00FC1E5A">
        <w:rPr>
          <w:rFonts w:cs="Arial"/>
          <w:b/>
          <w:bCs/>
          <w:lang w:val="en-GB"/>
        </w:rPr>
        <w:t>ome progress</w:t>
      </w:r>
      <w:r w:rsidR="00BB37E9" w:rsidRPr="00FC1E5A">
        <w:rPr>
          <w:rFonts w:cs="Arial"/>
          <w:b/>
          <w:bCs/>
          <w:lang w:val="en-GB"/>
        </w:rPr>
        <w:t>’</w:t>
      </w:r>
      <w:r w:rsidR="001274B2" w:rsidRPr="00FC1E5A">
        <w:rPr>
          <w:rFonts w:cs="Arial"/>
          <w:b/>
          <w:bCs/>
          <w:lang w:val="en-GB"/>
        </w:rPr>
        <w:t xml:space="preserve"> with a</w:t>
      </w:r>
      <w:r w:rsidR="003A6962">
        <w:rPr>
          <w:rFonts w:cs="Arial"/>
          <w:b/>
          <w:bCs/>
          <w:lang w:val="en-GB"/>
        </w:rPr>
        <w:t xml:space="preserve"> </w:t>
      </w:r>
      <w:r w:rsidR="001274B2" w:rsidRPr="00FC1E5A">
        <w:rPr>
          <w:rFonts w:cs="Arial"/>
          <w:b/>
          <w:bCs/>
          <w:lang w:val="en-GB"/>
        </w:rPr>
        <w:t xml:space="preserve">sub-score of </w:t>
      </w:r>
      <w:r w:rsidR="0023758D">
        <w:rPr>
          <w:rFonts w:cs="Arial"/>
          <w:b/>
          <w:bCs/>
          <w:lang w:val="en-GB"/>
        </w:rPr>
        <w:t>0.67</w:t>
      </w:r>
      <w:r w:rsidR="003A6962">
        <w:rPr>
          <w:rFonts w:cs="Arial"/>
          <w:b/>
          <w:bCs/>
          <w:lang w:val="en-GB"/>
        </w:rPr>
        <w:t>/3.0</w:t>
      </w:r>
      <w:r w:rsidR="001274B2" w:rsidRPr="00FC1E5A">
        <w:rPr>
          <w:rFonts w:cs="Arial"/>
          <w:b/>
          <w:bCs/>
          <w:lang w:val="en-GB"/>
        </w:rPr>
        <w:t>.</w:t>
      </w:r>
      <w:r w:rsidR="001274B2" w:rsidRPr="00FC1E5A">
        <w:rPr>
          <w:rFonts w:cs="Arial"/>
          <w:lang w:val="en-GB"/>
        </w:rPr>
        <w:t xml:space="preserve"> </w:t>
      </w:r>
      <w:r w:rsidR="00020ECD">
        <w:rPr>
          <w:rFonts w:cs="Arial"/>
          <w:lang w:val="en-GB"/>
        </w:rPr>
        <w:t xml:space="preserve">All </w:t>
      </w:r>
      <w:r w:rsidR="006D58DE">
        <w:rPr>
          <w:rFonts w:cs="Arial"/>
          <w:lang w:val="en-GB"/>
        </w:rPr>
        <w:t xml:space="preserve">key questions </w:t>
      </w:r>
      <w:r w:rsidR="00213C15">
        <w:rPr>
          <w:rFonts w:cs="Arial"/>
          <w:lang w:val="en-GB"/>
        </w:rPr>
        <w:t xml:space="preserve">were </w:t>
      </w:r>
      <w:r w:rsidR="00020ECD">
        <w:rPr>
          <w:rFonts w:cs="Arial"/>
          <w:lang w:val="en-GB"/>
        </w:rPr>
        <w:t>ranked with ‘Some progress’. This reflects the Dutch presence of government representatives on climate and sustainability issues in international fora as well as the deliberations of the government to strategically tackle the issue at supranational policy for</w:t>
      </w:r>
      <w:r w:rsidR="00786D7B">
        <w:rPr>
          <w:rFonts w:cs="Arial"/>
          <w:lang w:val="en-GB"/>
        </w:rPr>
        <w:t>a.</w:t>
      </w:r>
      <w:r w:rsidR="0042661F">
        <w:rPr>
          <w:rFonts w:cs="Arial"/>
          <w:lang w:val="en-GB"/>
        </w:rPr>
        <w:t xml:space="preserve"> </w:t>
      </w:r>
    </w:p>
    <w:tbl>
      <w:tblPr>
        <w:tblStyle w:val="Tabellenraster"/>
        <w:tblW w:w="9019" w:type="dxa"/>
        <w:tblInd w:w="-5" w:type="dxa"/>
        <w:tblLook w:val="04A0" w:firstRow="1" w:lastRow="0" w:firstColumn="1" w:lastColumn="0" w:noHBand="0" w:noVBand="1"/>
      </w:tblPr>
      <w:tblGrid>
        <w:gridCol w:w="742"/>
        <w:gridCol w:w="7030"/>
        <w:gridCol w:w="1247"/>
      </w:tblGrid>
      <w:tr w:rsidR="001274B2" w:rsidRPr="00FC1E5A" w14:paraId="643F315D" w14:textId="77777777" w:rsidTr="00493C62">
        <w:trPr>
          <w:trHeight w:val="340"/>
          <w:tblHeader/>
        </w:trPr>
        <w:tc>
          <w:tcPr>
            <w:tcW w:w="742" w:type="dxa"/>
          </w:tcPr>
          <w:p w14:paraId="572C1FB8" w14:textId="77777777" w:rsidR="001274B2" w:rsidRPr="00FC1E5A" w:rsidRDefault="001274B2" w:rsidP="001274B2">
            <w:pPr>
              <w:spacing w:after="120"/>
              <w:rPr>
                <w:rFonts w:cs="Arial"/>
                <w:sz w:val="18"/>
                <w:szCs w:val="18"/>
                <w:lang w:val="en-GB"/>
              </w:rPr>
            </w:pPr>
            <w:r w:rsidRPr="00FC1E5A">
              <w:rPr>
                <w:rFonts w:cs="Arial"/>
                <w:b/>
                <w:bCs/>
                <w:sz w:val="18"/>
                <w:szCs w:val="18"/>
                <w:lang w:val="en-GB"/>
              </w:rPr>
              <w:t>Q Nr.</w:t>
            </w:r>
          </w:p>
        </w:tc>
        <w:tc>
          <w:tcPr>
            <w:tcW w:w="7030" w:type="dxa"/>
          </w:tcPr>
          <w:p w14:paraId="52C9C63C" w14:textId="77777777" w:rsidR="001274B2" w:rsidRPr="00FC1E5A" w:rsidRDefault="00F00FF9" w:rsidP="001274B2">
            <w:pPr>
              <w:spacing w:after="120"/>
              <w:rPr>
                <w:rFonts w:cs="Arial"/>
                <w:sz w:val="18"/>
                <w:szCs w:val="18"/>
                <w:lang w:val="en-GB"/>
              </w:rPr>
            </w:pPr>
            <w:r>
              <w:rPr>
                <w:rFonts w:cs="Arial"/>
                <w:b/>
                <w:bCs/>
                <w:sz w:val="18"/>
                <w:szCs w:val="18"/>
                <w:lang w:val="en-GB"/>
              </w:rPr>
              <w:t>Dimension</w:t>
            </w:r>
            <w:r w:rsidR="001274B2" w:rsidRPr="00FC1E5A">
              <w:rPr>
                <w:rFonts w:cs="Arial"/>
                <w:b/>
                <w:bCs/>
                <w:sz w:val="18"/>
                <w:szCs w:val="18"/>
                <w:lang w:val="en-GB"/>
              </w:rPr>
              <w:t xml:space="preserve"> 5 – key questions</w:t>
            </w:r>
          </w:p>
        </w:tc>
        <w:tc>
          <w:tcPr>
            <w:tcW w:w="1247" w:type="dxa"/>
            <w:shd w:val="clear" w:color="auto" w:fill="auto"/>
          </w:tcPr>
          <w:p w14:paraId="21C6D752" w14:textId="77777777" w:rsidR="001274B2" w:rsidRPr="00FC1E5A" w:rsidRDefault="001274B2" w:rsidP="001274B2">
            <w:pPr>
              <w:spacing w:after="120"/>
              <w:rPr>
                <w:rFonts w:cs="Arial"/>
                <w:sz w:val="18"/>
                <w:szCs w:val="18"/>
                <w:lang w:val="en-GB"/>
              </w:rPr>
            </w:pPr>
            <w:r w:rsidRPr="00FC1E5A">
              <w:rPr>
                <w:rFonts w:cs="Arial"/>
                <w:b/>
                <w:bCs/>
                <w:sz w:val="18"/>
                <w:szCs w:val="18"/>
                <w:lang w:val="en-GB"/>
              </w:rPr>
              <w:t>Rating</w:t>
            </w:r>
          </w:p>
        </w:tc>
      </w:tr>
      <w:tr w:rsidR="001274B2" w:rsidRPr="00FC1E5A" w14:paraId="11944ED5" w14:textId="77777777" w:rsidTr="00493C62">
        <w:trPr>
          <w:trHeight w:val="113"/>
        </w:trPr>
        <w:tc>
          <w:tcPr>
            <w:tcW w:w="742" w:type="dxa"/>
          </w:tcPr>
          <w:p w14:paraId="6755AF0C" w14:textId="77777777" w:rsidR="001274B2" w:rsidRPr="00FC1E5A" w:rsidRDefault="001274B2" w:rsidP="001274B2">
            <w:pPr>
              <w:spacing w:after="120"/>
              <w:rPr>
                <w:rFonts w:cs="Arial"/>
                <w:sz w:val="18"/>
                <w:szCs w:val="18"/>
                <w:lang w:val="en-GB"/>
              </w:rPr>
            </w:pPr>
            <w:r w:rsidRPr="00FC1E5A">
              <w:rPr>
                <w:rFonts w:cs="Arial"/>
                <w:sz w:val="18"/>
                <w:szCs w:val="18"/>
                <w:lang w:val="en-GB"/>
              </w:rPr>
              <w:t>5.1</w:t>
            </w:r>
          </w:p>
        </w:tc>
        <w:tc>
          <w:tcPr>
            <w:tcW w:w="7030" w:type="dxa"/>
          </w:tcPr>
          <w:p w14:paraId="5D295FA3" w14:textId="77777777" w:rsidR="001274B2" w:rsidRPr="00FC1E5A" w:rsidRDefault="001274B2" w:rsidP="001274B2">
            <w:pPr>
              <w:spacing w:after="120"/>
              <w:rPr>
                <w:rFonts w:cs="Arial"/>
                <w:sz w:val="18"/>
                <w:szCs w:val="18"/>
                <w:lang w:val="en-GB"/>
              </w:rPr>
            </w:pPr>
            <w:r w:rsidRPr="00FC1E5A">
              <w:rPr>
                <w:rFonts w:cs="Arial"/>
                <w:sz w:val="18"/>
                <w:szCs w:val="18"/>
                <w:lang w:val="en-GB"/>
              </w:rPr>
              <w:t xml:space="preserve">To what extent does the institution itself or its government actively engage in relevant </w:t>
            </w:r>
            <w:r w:rsidR="00746CEB">
              <w:rPr>
                <w:rFonts w:cs="Arial"/>
                <w:sz w:val="18"/>
                <w:szCs w:val="18"/>
                <w:lang w:val="en-GB"/>
              </w:rPr>
              <w:t>international</w:t>
            </w:r>
            <w:r w:rsidR="00746CEB" w:rsidRPr="00FC1E5A">
              <w:rPr>
                <w:rFonts w:cs="Arial"/>
                <w:sz w:val="18"/>
                <w:szCs w:val="18"/>
                <w:lang w:val="en-GB"/>
              </w:rPr>
              <w:t xml:space="preserve"> </w:t>
            </w:r>
            <w:r w:rsidRPr="00FC1E5A">
              <w:rPr>
                <w:rFonts w:cs="Arial"/>
                <w:sz w:val="18"/>
                <w:szCs w:val="18"/>
                <w:lang w:val="en-GB"/>
              </w:rPr>
              <w:t xml:space="preserve">fora (e.g., </w:t>
            </w:r>
            <w:r w:rsidR="00CB234D">
              <w:rPr>
                <w:rFonts w:cs="Arial"/>
                <w:sz w:val="18"/>
                <w:szCs w:val="18"/>
                <w:lang w:val="en-GB"/>
              </w:rPr>
              <w:t xml:space="preserve">E3F, </w:t>
            </w:r>
            <w:r w:rsidRPr="00FC1E5A">
              <w:rPr>
                <w:rFonts w:cs="Arial"/>
                <w:sz w:val="18"/>
                <w:szCs w:val="18"/>
                <w:lang w:val="en-GB"/>
              </w:rPr>
              <w:t>OECD, the Berne Union</w:t>
            </w:r>
            <w:r w:rsidR="00BB5906">
              <w:rPr>
                <w:rFonts w:cs="Arial"/>
                <w:sz w:val="18"/>
                <w:szCs w:val="18"/>
                <w:lang w:val="en-GB"/>
              </w:rPr>
              <w:t>, WTO</w:t>
            </w:r>
            <w:r w:rsidR="00595FAC">
              <w:rPr>
                <w:rFonts w:cs="Arial"/>
                <w:sz w:val="18"/>
                <w:szCs w:val="18"/>
                <w:lang w:val="en-GB"/>
              </w:rPr>
              <w:t>,</w:t>
            </w:r>
            <w:r w:rsidRPr="00FC1E5A">
              <w:rPr>
                <w:rFonts w:cs="Arial"/>
                <w:sz w:val="18"/>
                <w:szCs w:val="18"/>
                <w:lang w:val="en-GB"/>
              </w:rPr>
              <w:t xml:space="preserve"> or the World Economic </w:t>
            </w:r>
            <w:r w:rsidRPr="00FC1E5A">
              <w:rPr>
                <w:rFonts w:cs="Arial"/>
                <w:sz w:val="18"/>
                <w:szCs w:val="18"/>
                <w:lang w:val="en-GB"/>
              </w:rPr>
              <w:lastRenderedPageBreak/>
              <w:t>Forum) to liaise with like-minded for ambitious climate policies in the export finance system?</w:t>
            </w:r>
          </w:p>
        </w:tc>
        <w:tc>
          <w:tcPr>
            <w:tcW w:w="1247" w:type="dxa"/>
            <w:shd w:val="clear" w:color="auto" w:fill="FFC000"/>
          </w:tcPr>
          <w:p w14:paraId="1746C8DC" w14:textId="77777777" w:rsidR="001274B2" w:rsidRPr="00FC1E5A" w:rsidRDefault="001274B2" w:rsidP="001274B2">
            <w:pPr>
              <w:spacing w:after="120"/>
              <w:rPr>
                <w:rFonts w:cs="Arial"/>
                <w:b/>
                <w:bCs/>
                <w:sz w:val="18"/>
                <w:szCs w:val="18"/>
                <w:lang w:val="en-GB"/>
              </w:rPr>
            </w:pPr>
            <w:r w:rsidRPr="00FC1E5A">
              <w:rPr>
                <w:rFonts w:cs="Arial"/>
                <w:b/>
                <w:bCs/>
                <w:sz w:val="18"/>
                <w:szCs w:val="18"/>
                <w:lang w:val="en-GB"/>
              </w:rPr>
              <w:lastRenderedPageBreak/>
              <w:t>Some progress</w:t>
            </w:r>
          </w:p>
        </w:tc>
      </w:tr>
      <w:tr w:rsidR="001274B2" w:rsidRPr="00FC1E5A" w14:paraId="436728F7" w14:textId="77777777" w:rsidTr="00493C62">
        <w:trPr>
          <w:trHeight w:val="340"/>
        </w:trPr>
        <w:tc>
          <w:tcPr>
            <w:tcW w:w="742" w:type="dxa"/>
          </w:tcPr>
          <w:p w14:paraId="01A0E99F" w14:textId="77777777" w:rsidR="001274B2" w:rsidRPr="00FC1E5A" w:rsidRDefault="001274B2" w:rsidP="001274B2">
            <w:pPr>
              <w:spacing w:after="120"/>
              <w:rPr>
                <w:rFonts w:cs="Arial"/>
                <w:sz w:val="18"/>
                <w:szCs w:val="18"/>
                <w:lang w:val="en-GB"/>
              </w:rPr>
            </w:pPr>
            <w:r w:rsidRPr="00FC1E5A">
              <w:rPr>
                <w:rFonts w:cs="Arial"/>
                <w:sz w:val="18"/>
                <w:szCs w:val="18"/>
                <w:lang w:val="en-GB"/>
              </w:rPr>
              <w:t>5.2</w:t>
            </w:r>
          </w:p>
        </w:tc>
        <w:tc>
          <w:tcPr>
            <w:tcW w:w="7030" w:type="dxa"/>
          </w:tcPr>
          <w:p w14:paraId="152F1AA2" w14:textId="77777777" w:rsidR="001274B2" w:rsidRPr="00FC1E5A" w:rsidRDefault="001274B2" w:rsidP="001274B2">
            <w:pPr>
              <w:spacing w:after="120"/>
              <w:rPr>
                <w:rFonts w:cs="Arial"/>
                <w:sz w:val="18"/>
                <w:szCs w:val="18"/>
                <w:lang w:val="en-GB"/>
              </w:rPr>
            </w:pPr>
            <w:r w:rsidRPr="00FC1E5A">
              <w:rPr>
                <w:rFonts w:cs="Arial"/>
                <w:sz w:val="18"/>
                <w:szCs w:val="18"/>
                <w:lang w:val="en-GB"/>
              </w:rPr>
              <w:t xml:space="preserve">To what extent does the institution itself or its government </w:t>
            </w:r>
            <w:r w:rsidR="00A95373" w:rsidRPr="00FC1E5A">
              <w:rPr>
                <w:rFonts w:cs="Arial"/>
                <w:sz w:val="18"/>
                <w:szCs w:val="18"/>
                <w:lang w:val="en-GB"/>
              </w:rPr>
              <w:t xml:space="preserve">actively engage in relevant </w:t>
            </w:r>
            <w:r w:rsidR="00A95373">
              <w:rPr>
                <w:rFonts w:cs="Arial"/>
                <w:sz w:val="18"/>
                <w:szCs w:val="18"/>
                <w:lang w:val="en-GB"/>
              </w:rPr>
              <w:t>national</w:t>
            </w:r>
            <w:r w:rsidR="00A95373" w:rsidRPr="00FC1E5A">
              <w:rPr>
                <w:rFonts w:cs="Arial"/>
                <w:sz w:val="18"/>
                <w:szCs w:val="18"/>
                <w:lang w:val="en-GB"/>
              </w:rPr>
              <w:t xml:space="preserve"> </w:t>
            </w:r>
            <w:r w:rsidR="00A95373">
              <w:rPr>
                <w:rFonts w:cs="Arial"/>
                <w:sz w:val="18"/>
                <w:szCs w:val="18"/>
                <w:lang w:val="en-GB"/>
              </w:rPr>
              <w:t xml:space="preserve">fora with </w:t>
            </w:r>
            <w:r w:rsidR="009E3D98">
              <w:rPr>
                <w:rFonts w:cs="Arial"/>
                <w:sz w:val="18"/>
                <w:szCs w:val="18"/>
                <w:lang w:val="en-GB"/>
              </w:rPr>
              <w:t>view</w:t>
            </w:r>
            <w:r w:rsidR="00A95373">
              <w:rPr>
                <w:rFonts w:cs="Arial"/>
                <w:sz w:val="18"/>
                <w:szCs w:val="18"/>
                <w:lang w:val="en-GB"/>
              </w:rPr>
              <w:t xml:space="preserve"> to implementing </w:t>
            </w:r>
            <w:r w:rsidR="00A95373" w:rsidRPr="00FC1E5A">
              <w:rPr>
                <w:rFonts w:cs="Arial"/>
                <w:sz w:val="18"/>
                <w:szCs w:val="18"/>
                <w:lang w:val="en-GB"/>
              </w:rPr>
              <w:t>ambitious climate policies in the</w:t>
            </w:r>
            <w:r w:rsidR="00453887">
              <w:rPr>
                <w:rFonts w:cs="Arial"/>
                <w:sz w:val="18"/>
                <w:szCs w:val="18"/>
                <w:lang w:val="en-GB"/>
              </w:rPr>
              <w:t xml:space="preserve"> (national)</w:t>
            </w:r>
            <w:r w:rsidR="00A95373" w:rsidRPr="00FC1E5A">
              <w:rPr>
                <w:rFonts w:cs="Arial"/>
                <w:sz w:val="18"/>
                <w:szCs w:val="18"/>
                <w:lang w:val="en-GB"/>
              </w:rPr>
              <w:t xml:space="preserve"> export finance system</w:t>
            </w:r>
            <w:r w:rsidR="00A95373">
              <w:rPr>
                <w:rFonts w:cs="Arial"/>
                <w:sz w:val="18"/>
                <w:szCs w:val="18"/>
                <w:lang w:val="en-GB"/>
              </w:rPr>
              <w:t>?</w:t>
            </w:r>
          </w:p>
        </w:tc>
        <w:tc>
          <w:tcPr>
            <w:tcW w:w="1247" w:type="dxa"/>
            <w:shd w:val="clear" w:color="auto" w:fill="FFC000"/>
          </w:tcPr>
          <w:p w14:paraId="4B1D7039" w14:textId="77777777" w:rsidR="001274B2" w:rsidRPr="00FC1E5A" w:rsidRDefault="001274B2" w:rsidP="001274B2">
            <w:pPr>
              <w:spacing w:after="120"/>
              <w:rPr>
                <w:rFonts w:cs="Arial"/>
                <w:b/>
                <w:bCs/>
                <w:sz w:val="18"/>
                <w:szCs w:val="18"/>
                <w:lang w:val="en-GB"/>
              </w:rPr>
            </w:pPr>
            <w:r w:rsidRPr="00FC1E5A">
              <w:rPr>
                <w:rFonts w:cs="Arial"/>
                <w:b/>
                <w:bCs/>
                <w:sz w:val="18"/>
                <w:szCs w:val="18"/>
                <w:lang w:val="en-GB"/>
              </w:rPr>
              <w:t>Some progress</w:t>
            </w:r>
          </w:p>
        </w:tc>
      </w:tr>
      <w:tr w:rsidR="009E5B9D" w:rsidRPr="00FC1E5A" w14:paraId="64CF80F1" w14:textId="77777777" w:rsidTr="009E5B9D">
        <w:trPr>
          <w:trHeight w:val="680"/>
        </w:trPr>
        <w:tc>
          <w:tcPr>
            <w:tcW w:w="742" w:type="dxa"/>
          </w:tcPr>
          <w:p w14:paraId="679B5D40" w14:textId="77777777" w:rsidR="009E5B9D" w:rsidRPr="00FC1E5A" w:rsidRDefault="009E5B9D" w:rsidP="009E5B9D">
            <w:pPr>
              <w:spacing w:after="120"/>
              <w:rPr>
                <w:rFonts w:cs="Arial"/>
                <w:sz w:val="18"/>
                <w:szCs w:val="18"/>
                <w:lang w:val="en-GB"/>
              </w:rPr>
            </w:pPr>
            <w:r w:rsidRPr="00FC1E5A">
              <w:rPr>
                <w:rFonts w:cs="Arial"/>
                <w:sz w:val="18"/>
                <w:szCs w:val="18"/>
                <w:lang w:val="en-GB"/>
              </w:rPr>
              <w:t>5.3</w:t>
            </w:r>
          </w:p>
        </w:tc>
        <w:tc>
          <w:tcPr>
            <w:tcW w:w="7030" w:type="dxa"/>
          </w:tcPr>
          <w:p w14:paraId="4E555211" w14:textId="77777777" w:rsidR="009E5B9D" w:rsidRPr="00FC1E5A" w:rsidRDefault="009E5B9D" w:rsidP="009E5B9D">
            <w:pPr>
              <w:spacing w:after="120"/>
              <w:rPr>
                <w:rFonts w:cs="Arial"/>
                <w:sz w:val="18"/>
                <w:szCs w:val="18"/>
                <w:lang w:val="en-GB"/>
              </w:rPr>
            </w:pPr>
            <w:r w:rsidRPr="00FC1E5A">
              <w:rPr>
                <w:rFonts w:cs="Arial"/>
                <w:sz w:val="18"/>
                <w:szCs w:val="18"/>
                <w:lang w:val="en-GB"/>
              </w:rPr>
              <w:t>To what extent does the institution or its government actively engage with national companies to</w:t>
            </w:r>
            <w:r>
              <w:rPr>
                <w:rFonts w:cs="Arial"/>
                <w:sz w:val="18"/>
                <w:szCs w:val="18"/>
                <w:lang w:val="en-GB"/>
              </w:rPr>
              <w:t xml:space="preserve"> transform fossil fuel-related value chains and</w:t>
            </w:r>
            <w:r w:rsidRPr="00FC1E5A">
              <w:rPr>
                <w:rFonts w:cs="Arial"/>
                <w:sz w:val="18"/>
                <w:szCs w:val="18"/>
                <w:lang w:val="en-GB"/>
              </w:rPr>
              <w:t xml:space="preserve"> incentivize low GHG exports? </w:t>
            </w:r>
          </w:p>
        </w:tc>
        <w:tc>
          <w:tcPr>
            <w:tcW w:w="1247" w:type="dxa"/>
            <w:shd w:val="clear" w:color="auto" w:fill="FFC000"/>
          </w:tcPr>
          <w:p w14:paraId="3A3A2CA5" w14:textId="28A077D8" w:rsidR="009E5B9D" w:rsidRPr="00FC1E5A" w:rsidRDefault="009E5B9D" w:rsidP="009E5B9D">
            <w:pPr>
              <w:spacing w:after="120"/>
              <w:rPr>
                <w:rFonts w:cs="Arial"/>
                <w:b/>
                <w:bCs/>
                <w:sz w:val="18"/>
                <w:szCs w:val="18"/>
                <w:lang w:val="en-GB"/>
              </w:rPr>
            </w:pPr>
            <w:r w:rsidRPr="00FC1E5A">
              <w:rPr>
                <w:rFonts w:cs="Arial"/>
                <w:b/>
                <w:bCs/>
                <w:sz w:val="18"/>
                <w:szCs w:val="18"/>
                <w:lang w:val="en-GB"/>
              </w:rPr>
              <w:t>Some progress</w:t>
            </w:r>
          </w:p>
        </w:tc>
      </w:tr>
    </w:tbl>
    <w:p w14:paraId="079296F0" w14:textId="77777777" w:rsidR="001274B2" w:rsidRPr="00FC1E5A" w:rsidRDefault="001274B2" w:rsidP="00493C62">
      <w:pPr>
        <w:spacing w:before="120" w:after="120"/>
        <w:rPr>
          <w:rFonts w:cs="Arial"/>
          <w:b/>
          <w:bCs/>
          <w:lang w:val="en-GB"/>
        </w:rPr>
      </w:pPr>
      <w:r w:rsidRPr="00FC1E5A">
        <w:rPr>
          <w:rFonts w:cs="Arial"/>
          <w:b/>
          <w:bCs/>
          <w:lang w:val="en-GB"/>
        </w:rPr>
        <w:t xml:space="preserve">Q5.1: </w:t>
      </w:r>
      <w:r w:rsidR="00A87D86" w:rsidRPr="00A87D86">
        <w:rPr>
          <w:rFonts w:cs="Arial"/>
          <w:b/>
          <w:bCs/>
          <w:lang w:val="en-GB"/>
        </w:rPr>
        <w:t>To what extent does the institution itself or its government actively engage in relevant international fora (e.g., OECD, the Berne Union, WTO</w:t>
      </w:r>
      <w:r w:rsidR="00542825">
        <w:rPr>
          <w:rFonts w:cs="Arial"/>
          <w:b/>
          <w:bCs/>
          <w:lang w:val="en-GB"/>
        </w:rPr>
        <w:t xml:space="preserve">, </w:t>
      </w:r>
      <w:r w:rsidR="00542825" w:rsidRPr="00A87D86">
        <w:rPr>
          <w:rFonts w:cs="Arial"/>
          <w:b/>
          <w:bCs/>
          <w:lang w:val="en-GB"/>
        </w:rPr>
        <w:t>E3F</w:t>
      </w:r>
      <w:r w:rsidR="00A87D86" w:rsidRPr="00A87D86">
        <w:rPr>
          <w:rFonts w:cs="Arial"/>
          <w:b/>
          <w:bCs/>
          <w:lang w:val="en-GB"/>
        </w:rPr>
        <w:t xml:space="preserve"> or the World Economic Forum) to liaise with like-minded for ambitious climate policies in the export finance system?</w:t>
      </w:r>
    </w:p>
    <w:p w14:paraId="1DB5328E" w14:textId="062B4FF8" w:rsidR="008B0B32" w:rsidRPr="00895661" w:rsidRDefault="006D58DE" w:rsidP="00DE20D6">
      <w:r>
        <w:rPr>
          <w:rFonts w:cs="Arial"/>
          <w:lang w:val="en-GB"/>
        </w:rPr>
        <w:t>Q5.1</w:t>
      </w:r>
      <w:r w:rsidR="00E42E17">
        <w:rPr>
          <w:rFonts w:cs="Arial"/>
          <w:lang w:val="en-GB"/>
        </w:rPr>
        <w:t xml:space="preserve"> </w:t>
      </w:r>
      <w:r w:rsidR="00387382">
        <w:rPr>
          <w:rFonts w:cs="Arial"/>
          <w:lang w:val="en-GB"/>
        </w:rPr>
        <w:t xml:space="preserve">was </w:t>
      </w:r>
      <w:r w:rsidR="00C7264F">
        <w:rPr>
          <w:rFonts w:cs="Arial"/>
          <w:lang w:val="en-GB"/>
        </w:rPr>
        <w:t>scored</w:t>
      </w:r>
      <w:r w:rsidR="00332A56" w:rsidRPr="00FC1E5A">
        <w:rPr>
          <w:rFonts w:cs="Arial"/>
          <w:lang w:val="en-GB"/>
        </w:rPr>
        <w:t xml:space="preserve"> with ‘</w:t>
      </w:r>
      <w:r w:rsidR="00202DF5">
        <w:rPr>
          <w:rFonts w:cs="Arial"/>
          <w:lang w:val="en-GB"/>
        </w:rPr>
        <w:t>S</w:t>
      </w:r>
      <w:r w:rsidR="00332A56" w:rsidRPr="00FC1E5A">
        <w:rPr>
          <w:rFonts w:cs="Arial"/>
          <w:lang w:val="en-GB"/>
        </w:rPr>
        <w:t xml:space="preserve">ome progress’ regarding </w:t>
      </w:r>
      <w:r w:rsidR="00C7264F">
        <w:rPr>
          <w:rFonts w:cs="Arial"/>
          <w:lang w:val="en-GB"/>
        </w:rPr>
        <w:t xml:space="preserve">Dutch engagement </w:t>
      </w:r>
      <w:r w:rsidR="00404526">
        <w:rPr>
          <w:rFonts w:cs="Arial"/>
          <w:lang w:val="en-GB"/>
        </w:rPr>
        <w:t xml:space="preserve">in the E3F initiative </w:t>
      </w:r>
      <w:r w:rsidR="0071539B">
        <w:rPr>
          <w:rFonts w:cs="Arial"/>
          <w:lang w:val="en-GB"/>
        </w:rPr>
        <w:t xml:space="preserve">as well as with regards to its </w:t>
      </w:r>
      <w:r w:rsidR="0017393B">
        <w:rPr>
          <w:rFonts w:cs="Arial"/>
          <w:lang w:val="en-GB"/>
        </w:rPr>
        <w:t xml:space="preserve">deliberations </w:t>
      </w:r>
      <w:r w:rsidR="0071539B">
        <w:rPr>
          <w:rFonts w:cs="Arial"/>
          <w:lang w:val="en-GB"/>
        </w:rPr>
        <w:t xml:space="preserve">to </w:t>
      </w:r>
      <w:r w:rsidR="00692EBF">
        <w:rPr>
          <w:rFonts w:cs="Arial"/>
          <w:lang w:val="en-GB"/>
        </w:rPr>
        <w:t xml:space="preserve">push climate-related ambition at the OECD level </w:t>
      </w:r>
      <w:r w:rsidR="00A542CA">
        <w:rPr>
          <w:rFonts w:cs="Arial"/>
          <w:lang w:val="en-GB"/>
        </w:rPr>
        <w:t>(Government of the Netherlands 2021b</w:t>
      </w:r>
      <w:r w:rsidR="003732FB">
        <w:rPr>
          <w:rFonts w:cs="Arial"/>
          <w:lang w:val="en-GB"/>
        </w:rPr>
        <w:t xml:space="preserve">; </w:t>
      </w:r>
      <w:r w:rsidR="003732FB" w:rsidRPr="003732FB">
        <w:rPr>
          <w:rFonts w:cs="Arial"/>
          <w:lang w:val="en-GB"/>
        </w:rPr>
        <w:t>Ministry of Finance 2021b</w:t>
      </w:r>
      <w:r w:rsidR="00A542CA">
        <w:rPr>
          <w:rFonts w:cs="Arial"/>
          <w:lang w:val="en-GB"/>
        </w:rPr>
        <w:t>).</w:t>
      </w:r>
      <w:r w:rsidR="006D6F34">
        <w:rPr>
          <w:rFonts w:cs="Arial"/>
          <w:lang w:val="en-GB"/>
        </w:rPr>
        <w:t xml:space="preserve"> </w:t>
      </w:r>
      <w:r w:rsidR="00F742BD">
        <w:rPr>
          <w:rFonts w:cs="Arial"/>
          <w:lang w:val="en-GB"/>
        </w:rPr>
        <w:t>For instance, t</w:t>
      </w:r>
      <w:r w:rsidR="006D6F34">
        <w:rPr>
          <w:rFonts w:cs="Arial"/>
          <w:lang w:val="en-GB"/>
        </w:rPr>
        <w:t>he Dutch government will host the November meeting of the E3F and therefore takes a proactive role</w:t>
      </w:r>
      <w:r w:rsidR="003B3AAC">
        <w:rPr>
          <w:rFonts w:cs="Arial"/>
          <w:lang w:val="en-GB"/>
        </w:rPr>
        <w:t xml:space="preserve"> </w:t>
      </w:r>
      <w:r w:rsidR="00D52448">
        <w:rPr>
          <w:rFonts w:cs="Arial"/>
          <w:lang w:val="en-GB"/>
        </w:rPr>
        <w:t>with the potential to demonstrate leadership in the initiative</w:t>
      </w:r>
      <w:r w:rsidR="006D6F34">
        <w:rPr>
          <w:rFonts w:cs="Arial"/>
          <w:lang w:val="en-GB"/>
        </w:rPr>
        <w:t xml:space="preserve">. </w:t>
      </w:r>
      <w:r w:rsidR="00B301B5">
        <w:rPr>
          <w:rFonts w:cs="Arial"/>
          <w:lang w:val="en-GB"/>
        </w:rPr>
        <w:t>Atradius DSB contributed to the Berne Union ‘Illuminating Climate’ bulletin</w:t>
      </w:r>
      <w:r w:rsidR="005B055C">
        <w:rPr>
          <w:rFonts w:cs="Arial"/>
          <w:lang w:val="en-GB"/>
        </w:rPr>
        <w:t xml:space="preserve"> by highlighting their approach to ‘greening’ the Dutch officially supported export finance and the ensuing innovation potential</w:t>
      </w:r>
      <w:r w:rsidR="00B301B5">
        <w:rPr>
          <w:rFonts w:cs="Arial"/>
          <w:lang w:val="en-GB"/>
        </w:rPr>
        <w:t xml:space="preserve"> (</w:t>
      </w:r>
      <w:proofErr w:type="spellStart"/>
      <w:r w:rsidR="006C1054">
        <w:rPr>
          <w:rFonts w:cs="Arial"/>
          <w:lang w:val="en-GB"/>
        </w:rPr>
        <w:t>Walbroek</w:t>
      </w:r>
      <w:proofErr w:type="spellEnd"/>
      <w:r w:rsidR="006C1054">
        <w:rPr>
          <w:rFonts w:cs="Arial"/>
          <w:lang w:val="en-GB"/>
        </w:rPr>
        <w:t xml:space="preserve"> 2021)</w:t>
      </w:r>
      <w:r w:rsidR="00B301B5">
        <w:rPr>
          <w:rFonts w:cs="Arial"/>
          <w:lang w:val="en-GB"/>
        </w:rPr>
        <w:t>.</w:t>
      </w:r>
      <w:r w:rsidR="005B4DFE">
        <w:rPr>
          <w:rFonts w:cs="Arial"/>
          <w:lang w:val="en-GB"/>
        </w:rPr>
        <w:t xml:space="preserve"> </w:t>
      </w:r>
      <w:r w:rsidR="00DE20D6">
        <w:rPr>
          <w:rFonts w:cs="Arial"/>
          <w:lang w:val="en-GB"/>
        </w:rPr>
        <w:t xml:space="preserve">Moreover, the </w:t>
      </w:r>
      <w:r w:rsidR="00EC728A">
        <w:rPr>
          <w:rFonts w:cs="Arial"/>
          <w:lang w:val="en-GB"/>
        </w:rPr>
        <w:t>Dutch</w:t>
      </w:r>
      <w:r w:rsidR="00CF1225">
        <w:rPr>
          <w:rFonts w:cs="Arial"/>
          <w:lang w:val="en-GB"/>
        </w:rPr>
        <w:t xml:space="preserve"> government stated its readiness to share the ‘Green Label’ and ‘Fossil fuel measurement’ methodology with other countries (</w:t>
      </w:r>
      <w:r w:rsidR="00CF1225">
        <w:rPr>
          <w:rFonts w:cs="Arial"/>
          <w:i/>
          <w:lang w:val="en-GB"/>
        </w:rPr>
        <w:t>ibid</w:t>
      </w:r>
      <w:r w:rsidR="00CF1225">
        <w:rPr>
          <w:rFonts w:cs="Arial"/>
          <w:lang w:val="en-GB"/>
        </w:rPr>
        <w:t>.)</w:t>
      </w:r>
      <w:r w:rsidR="00CF1225" w:rsidRPr="00C40A30">
        <w:rPr>
          <w:rFonts w:cs="Arial"/>
          <w:lang w:val="en-GB"/>
        </w:rPr>
        <w:t>.</w:t>
      </w:r>
      <w:r w:rsidR="00783D91" w:rsidRPr="00C40A30">
        <w:rPr>
          <w:rFonts w:cs="Arial"/>
          <w:lang w:val="en-GB"/>
        </w:rPr>
        <w:t xml:space="preserve"> </w:t>
      </w:r>
      <w:r w:rsidR="002D3F15">
        <w:rPr>
          <w:rFonts w:cs="Arial"/>
          <w:lang w:val="en-GB"/>
        </w:rPr>
        <w:t xml:space="preserve">It </w:t>
      </w:r>
      <w:r w:rsidR="001511B0">
        <w:rPr>
          <w:rFonts w:cs="Arial"/>
          <w:lang w:val="en-GB"/>
        </w:rPr>
        <w:t xml:space="preserve">openly criticized the OECD Arrangement </w:t>
      </w:r>
      <w:r w:rsidR="001511B0" w:rsidRPr="001511B0">
        <w:rPr>
          <w:rFonts w:cs="Arial"/>
          <w:lang w:val="en-GB"/>
        </w:rPr>
        <w:t xml:space="preserve">Sector Understanding </w:t>
      </w:r>
      <w:r w:rsidR="001511B0">
        <w:rPr>
          <w:rFonts w:cs="Arial"/>
          <w:lang w:val="en-GB"/>
        </w:rPr>
        <w:t xml:space="preserve">on </w:t>
      </w:r>
      <w:r w:rsidR="001511B0" w:rsidRPr="001511B0">
        <w:rPr>
          <w:rFonts w:cs="Arial"/>
          <w:lang w:val="en-GB"/>
        </w:rPr>
        <w:t>Renewable Energy, Climate Change Mitigation and Adaptation and Water Projects (CCSU)</w:t>
      </w:r>
      <w:r w:rsidR="001511B0">
        <w:rPr>
          <w:rFonts w:cs="Arial"/>
          <w:lang w:val="en-GB"/>
        </w:rPr>
        <w:t xml:space="preserve"> as being too limited, highlighting that the CCSU should cover more sectors and relax its requirements for adaptation activities.</w:t>
      </w:r>
      <w:r w:rsidR="001A4295">
        <w:rPr>
          <w:rFonts w:cs="Arial"/>
          <w:lang w:val="en-GB"/>
        </w:rPr>
        <w:t xml:space="preserve"> </w:t>
      </w:r>
      <w:r w:rsidR="002D3F15">
        <w:rPr>
          <w:rFonts w:cs="Arial"/>
          <w:lang w:val="en-GB"/>
        </w:rPr>
        <w:t xml:space="preserve">Additionally, </w:t>
      </w:r>
      <w:r w:rsidR="001A4295">
        <w:rPr>
          <w:rFonts w:cs="Arial"/>
          <w:lang w:val="en-GB"/>
        </w:rPr>
        <w:t xml:space="preserve">the Netherlands are in favour of the EU proposal </w:t>
      </w:r>
      <w:r w:rsidR="002D3F15">
        <w:rPr>
          <w:rFonts w:cs="Arial"/>
          <w:lang w:val="en-GB"/>
        </w:rPr>
        <w:t>aiming</w:t>
      </w:r>
      <w:r w:rsidR="001A4295">
        <w:rPr>
          <w:rFonts w:cs="Arial"/>
          <w:lang w:val="en-GB"/>
        </w:rPr>
        <w:t xml:space="preserve"> at expansion the CFSU to all types of coal fired power plants as well as </w:t>
      </w:r>
      <w:r w:rsidR="00BD3AC5">
        <w:rPr>
          <w:rFonts w:cs="Arial"/>
          <w:lang w:val="en-GB"/>
        </w:rPr>
        <w:t xml:space="preserve">inclusion of </w:t>
      </w:r>
      <w:r w:rsidR="001A4295" w:rsidRPr="001511B0">
        <w:t>mining and coal-related projects</w:t>
      </w:r>
      <w:r w:rsidR="002D3F15">
        <w:t xml:space="preserve"> (</w:t>
      </w:r>
      <w:r w:rsidR="002D3F15" w:rsidRPr="00895661">
        <w:rPr>
          <w:i/>
          <w:iCs/>
        </w:rPr>
        <w:t>ibid</w:t>
      </w:r>
      <w:r w:rsidR="002D3F15">
        <w:t>.)</w:t>
      </w:r>
      <w:r w:rsidR="001A4295" w:rsidRPr="001511B0">
        <w:t>.</w:t>
      </w:r>
      <w:r w:rsidR="001A4295">
        <w:t xml:space="preserve"> </w:t>
      </w:r>
      <w:r w:rsidR="005B4DFE" w:rsidRPr="00C40A30">
        <w:rPr>
          <w:rFonts w:cs="Arial"/>
          <w:lang w:val="en-GB"/>
        </w:rPr>
        <w:t>Lastly, there is no public information available on the Dutch stance on taking up negotiations at the International Working Group on Export Credits (I</w:t>
      </w:r>
      <w:r w:rsidR="00327CC1" w:rsidRPr="000E6075">
        <w:rPr>
          <w:rFonts w:cs="Arial"/>
          <w:lang w:val="en-GB"/>
        </w:rPr>
        <w:t>W</w:t>
      </w:r>
      <w:r w:rsidR="005B4DFE" w:rsidRPr="000E6075">
        <w:rPr>
          <w:rFonts w:cs="Arial"/>
          <w:lang w:val="en-GB"/>
        </w:rPr>
        <w:t>G) which has been suspended last year due to overly divergent positions (European Commission 2020</w:t>
      </w:r>
      <w:r w:rsidR="005B4DFE" w:rsidRPr="00C40A30">
        <w:rPr>
          <w:rFonts w:cs="Arial"/>
          <w:lang w:val="en-GB"/>
        </w:rPr>
        <w:t>).</w:t>
      </w:r>
      <w:r w:rsidR="005B4DFE">
        <w:rPr>
          <w:rFonts w:cs="Arial"/>
          <w:lang w:val="en-GB"/>
        </w:rPr>
        <w:t xml:space="preserve"> </w:t>
      </w:r>
    </w:p>
    <w:p w14:paraId="4B61425C" w14:textId="77777777" w:rsidR="009C3901" w:rsidRDefault="003931F9" w:rsidP="00DE20D6">
      <w:pPr>
        <w:rPr>
          <w:rFonts w:cs="Arial"/>
          <w:lang w:val="en-GB"/>
        </w:rPr>
      </w:pPr>
      <w:r>
        <w:rPr>
          <w:rFonts w:cs="Arial"/>
          <w:lang w:val="en-GB"/>
        </w:rPr>
        <w:t xml:space="preserve">We recommend that </w:t>
      </w:r>
      <w:r w:rsidR="00AC2C03">
        <w:rPr>
          <w:rFonts w:cs="Arial"/>
          <w:lang w:val="en-GB"/>
        </w:rPr>
        <w:t xml:space="preserve">the Dutch government </w:t>
      </w:r>
      <w:r>
        <w:rPr>
          <w:rFonts w:cs="Arial"/>
          <w:lang w:val="en-GB"/>
        </w:rPr>
        <w:t xml:space="preserve">further follows and </w:t>
      </w:r>
      <w:r w:rsidR="00EC4199">
        <w:rPr>
          <w:rFonts w:cs="Arial"/>
          <w:lang w:val="en-GB"/>
        </w:rPr>
        <w:t>strengthens its</w:t>
      </w:r>
      <w:r w:rsidR="00F76307">
        <w:rPr>
          <w:rFonts w:cs="Arial"/>
          <w:lang w:val="en-GB"/>
        </w:rPr>
        <w:t xml:space="preserve"> </w:t>
      </w:r>
      <w:r w:rsidR="00AC2C03">
        <w:rPr>
          <w:rFonts w:cs="Arial"/>
          <w:lang w:val="en-GB"/>
        </w:rPr>
        <w:t>potential to lead the way for</w:t>
      </w:r>
      <w:r w:rsidR="009F395E">
        <w:rPr>
          <w:rFonts w:cs="Arial"/>
          <w:lang w:val="en-GB"/>
        </w:rPr>
        <w:t xml:space="preserve"> </w:t>
      </w:r>
      <w:r w:rsidR="00F01510">
        <w:rPr>
          <w:rFonts w:cs="Arial"/>
          <w:lang w:val="en-GB"/>
        </w:rPr>
        <w:t xml:space="preserve">climate-related reform </w:t>
      </w:r>
      <w:r w:rsidR="00651505">
        <w:rPr>
          <w:rFonts w:cs="Arial"/>
          <w:lang w:val="en-GB"/>
        </w:rPr>
        <w:t xml:space="preserve">in the export finance system. More specifically, we recommend the </w:t>
      </w:r>
      <w:r w:rsidR="003B4C90">
        <w:rPr>
          <w:rFonts w:cs="Arial"/>
          <w:lang w:val="en-GB"/>
        </w:rPr>
        <w:t xml:space="preserve">Dutch government to actively </w:t>
      </w:r>
    </w:p>
    <w:p w14:paraId="6D3B95EA" w14:textId="5E71F85F" w:rsidR="009C3901" w:rsidRDefault="007C3C56" w:rsidP="009C3901">
      <w:pPr>
        <w:pStyle w:val="Listenabsatz"/>
        <w:numPr>
          <w:ilvl w:val="0"/>
          <w:numId w:val="34"/>
        </w:numPr>
        <w:rPr>
          <w:rFonts w:cs="Arial"/>
          <w:lang w:val="en-GB"/>
        </w:rPr>
      </w:pPr>
      <w:r>
        <w:rPr>
          <w:rFonts w:cs="Arial"/>
          <w:lang w:val="en-GB"/>
        </w:rPr>
        <w:t xml:space="preserve">seek </w:t>
      </w:r>
      <w:r w:rsidR="003B4C90" w:rsidRPr="009C3901">
        <w:rPr>
          <w:rFonts w:cs="Arial"/>
          <w:lang w:val="en-GB"/>
        </w:rPr>
        <w:t xml:space="preserve">support </w:t>
      </w:r>
      <w:r w:rsidR="002025DA" w:rsidRPr="009C3901">
        <w:rPr>
          <w:rFonts w:cs="Arial"/>
          <w:lang w:val="en-GB"/>
        </w:rPr>
        <w:t xml:space="preserve">from other </w:t>
      </w:r>
      <w:r w:rsidR="0079115C">
        <w:rPr>
          <w:rFonts w:cs="Arial"/>
          <w:lang w:val="en-GB"/>
        </w:rPr>
        <w:t>more</w:t>
      </w:r>
      <w:r w:rsidR="0079115C" w:rsidRPr="009C3901">
        <w:rPr>
          <w:rFonts w:cs="Arial"/>
          <w:lang w:val="en-GB"/>
        </w:rPr>
        <w:t xml:space="preserve"> </w:t>
      </w:r>
      <w:r w:rsidR="002025DA" w:rsidRPr="009C3901">
        <w:rPr>
          <w:rFonts w:cs="Arial"/>
          <w:lang w:val="en-GB"/>
        </w:rPr>
        <w:t>ambitious members of the E3F initiative</w:t>
      </w:r>
      <w:r w:rsidR="000802B4">
        <w:rPr>
          <w:rFonts w:cs="Arial"/>
          <w:lang w:val="en-GB"/>
        </w:rPr>
        <w:t xml:space="preserve"> (e.g., the UK)</w:t>
      </w:r>
      <w:r w:rsidR="002025DA" w:rsidRPr="009C3901">
        <w:rPr>
          <w:rFonts w:cs="Arial"/>
          <w:lang w:val="en-GB"/>
        </w:rPr>
        <w:t xml:space="preserve"> and raise its ambition</w:t>
      </w:r>
      <w:r w:rsidR="00610E17" w:rsidRPr="009C3901">
        <w:rPr>
          <w:rFonts w:cs="Arial"/>
          <w:lang w:val="en-GB"/>
        </w:rPr>
        <w:t xml:space="preserve"> rather than advocate for more extensive membership</w:t>
      </w:r>
      <w:r w:rsidR="0089741E">
        <w:rPr>
          <w:rFonts w:cs="Arial"/>
          <w:lang w:val="en-GB"/>
        </w:rPr>
        <w:t>, which may potentially lead to watering down the ambition using the ‘lowest common denominator’</w:t>
      </w:r>
      <w:r w:rsidR="0044706B">
        <w:rPr>
          <w:rFonts w:cs="Arial"/>
          <w:lang w:val="en-GB"/>
        </w:rPr>
        <w:t xml:space="preserve">; </w:t>
      </w:r>
      <w:r w:rsidR="00610E17" w:rsidRPr="009C3901">
        <w:rPr>
          <w:rFonts w:cs="Arial"/>
          <w:lang w:val="en-GB"/>
        </w:rPr>
        <w:t xml:space="preserve"> </w:t>
      </w:r>
    </w:p>
    <w:p w14:paraId="21F331B0" w14:textId="77777777" w:rsidR="00F76307" w:rsidRDefault="00C671B8" w:rsidP="009C3901">
      <w:pPr>
        <w:pStyle w:val="Listenabsatz"/>
        <w:numPr>
          <w:ilvl w:val="0"/>
          <w:numId w:val="34"/>
        </w:numPr>
        <w:rPr>
          <w:rFonts w:cs="Arial"/>
          <w:lang w:val="en-GB"/>
        </w:rPr>
      </w:pPr>
      <w:r>
        <w:rPr>
          <w:rFonts w:cs="Arial"/>
          <w:lang w:val="en-GB"/>
        </w:rPr>
        <w:t>further deepen</w:t>
      </w:r>
      <w:r w:rsidR="002940CE">
        <w:rPr>
          <w:rFonts w:cs="Arial"/>
          <w:lang w:val="en-GB"/>
        </w:rPr>
        <w:t xml:space="preserve"> </w:t>
      </w:r>
      <w:r>
        <w:rPr>
          <w:rFonts w:cs="Arial"/>
          <w:lang w:val="en-GB"/>
        </w:rPr>
        <w:t xml:space="preserve">and publicly report on negotiations </w:t>
      </w:r>
      <w:r w:rsidR="00AA453B">
        <w:rPr>
          <w:rFonts w:cs="Arial"/>
          <w:lang w:val="en-GB"/>
        </w:rPr>
        <w:t>at</w:t>
      </w:r>
      <w:r>
        <w:rPr>
          <w:rFonts w:cs="Arial"/>
          <w:lang w:val="en-GB"/>
        </w:rPr>
        <w:t xml:space="preserve"> the OECD level, especially </w:t>
      </w:r>
      <w:r w:rsidR="00AA453B">
        <w:rPr>
          <w:rFonts w:cs="Arial"/>
          <w:lang w:val="en-GB"/>
        </w:rPr>
        <w:t>with the US and Japan</w:t>
      </w:r>
      <w:r w:rsidR="00FF11E1">
        <w:rPr>
          <w:rFonts w:cs="Arial"/>
          <w:lang w:val="en-GB"/>
        </w:rPr>
        <w:t>;</w:t>
      </w:r>
      <w:r w:rsidR="002557F2">
        <w:rPr>
          <w:rFonts w:cs="Arial"/>
          <w:lang w:val="en-GB"/>
        </w:rPr>
        <w:t xml:space="preserve"> and particularly against the background that China phased out all support for coal-fired electricity generation in overseas markets </w:t>
      </w:r>
      <w:r w:rsidR="00CD34BC">
        <w:rPr>
          <w:rFonts w:cs="Arial"/>
          <w:lang w:val="en-GB"/>
        </w:rPr>
        <w:t>(</w:t>
      </w:r>
      <w:r w:rsidR="00F65A22">
        <w:rPr>
          <w:rFonts w:cs="Arial"/>
          <w:lang w:val="en-GB"/>
        </w:rPr>
        <w:t xml:space="preserve">e.g., see </w:t>
      </w:r>
      <w:r w:rsidR="00CD34BC">
        <w:rPr>
          <w:rFonts w:cs="Arial"/>
          <w:lang w:val="en-GB"/>
        </w:rPr>
        <w:t>Carbon Pulse 2021).</w:t>
      </w:r>
    </w:p>
    <w:p w14:paraId="09C5F433" w14:textId="5F818267" w:rsidR="00596BD7" w:rsidRDefault="00AA453B" w:rsidP="00872CC6">
      <w:pPr>
        <w:pStyle w:val="Listenabsatz"/>
        <w:numPr>
          <w:ilvl w:val="0"/>
          <w:numId w:val="34"/>
        </w:numPr>
        <w:rPr>
          <w:rFonts w:cs="Arial"/>
          <w:lang w:val="en-GB"/>
        </w:rPr>
      </w:pPr>
      <w:r w:rsidRPr="00596BD7">
        <w:rPr>
          <w:rFonts w:cs="Arial"/>
          <w:lang w:val="en-GB"/>
        </w:rPr>
        <w:t xml:space="preserve">strategize with like-minded </w:t>
      </w:r>
      <w:r w:rsidR="00A60307" w:rsidRPr="00596BD7">
        <w:rPr>
          <w:rFonts w:cs="Arial"/>
          <w:lang w:val="en-GB"/>
        </w:rPr>
        <w:t xml:space="preserve">OECD </w:t>
      </w:r>
      <w:r w:rsidR="00B6311E" w:rsidRPr="00596BD7">
        <w:rPr>
          <w:rFonts w:cs="Arial"/>
          <w:lang w:val="en-GB"/>
        </w:rPr>
        <w:t>Arrang</w:t>
      </w:r>
      <w:r w:rsidR="00A60307" w:rsidRPr="00596BD7">
        <w:rPr>
          <w:rFonts w:cs="Arial"/>
          <w:lang w:val="en-GB"/>
        </w:rPr>
        <w:t>e</w:t>
      </w:r>
      <w:r w:rsidR="00B6311E" w:rsidRPr="00596BD7">
        <w:rPr>
          <w:rFonts w:cs="Arial"/>
          <w:lang w:val="en-GB"/>
        </w:rPr>
        <w:t>ment participants</w:t>
      </w:r>
      <w:r w:rsidRPr="00596BD7">
        <w:rPr>
          <w:rFonts w:cs="Arial"/>
          <w:lang w:val="en-GB"/>
        </w:rPr>
        <w:t xml:space="preserve"> </w:t>
      </w:r>
      <w:r w:rsidR="008E3B41">
        <w:rPr>
          <w:rFonts w:cs="Arial"/>
          <w:lang w:val="en-GB"/>
        </w:rPr>
        <w:t>about how to leapfrog gradual changes and achieve a transformative climate-related policy reform of the Arrangement</w:t>
      </w:r>
      <w:r w:rsidR="005A615F">
        <w:rPr>
          <w:rFonts w:cs="Arial"/>
          <w:lang w:val="en-GB"/>
        </w:rPr>
        <w:t xml:space="preserve"> including</w:t>
      </w:r>
      <w:r w:rsidR="005A615F" w:rsidRPr="005A615F">
        <w:t xml:space="preserve"> </w:t>
      </w:r>
      <w:r w:rsidR="005A615F">
        <w:t xml:space="preserve">through adoption of restrictions for oil and gas export finance at the OECD (to </w:t>
      </w:r>
      <w:r w:rsidR="005A615F">
        <w:lastRenderedPageBreak/>
        <w:t>complement the CFSU) – in a way that prevents loopholes that allowed continued coal power finance despite CFSU</w:t>
      </w:r>
      <w:r w:rsidR="008E3B41">
        <w:rPr>
          <w:rFonts w:cs="Arial"/>
          <w:lang w:val="en-GB"/>
        </w:rPr>
        <w:t>;</w:t>
      </w:r>
    </w:p>
    <w:p w14:paraId="0A35F20B" w14:textId="77777777" w:rsidR="001E0A45" w:rsidRDefault="004B6F07" w:rsidP="00872CC6">
      <w:pPr>
        <w:pStyle w:val="Listenabsatz"/>
        <w:numPr>
          <w:ilvl w:val="0"/>
          <w:numId w:val="34"/>
        </w:numPr>
        <w:rPr>
          <w:rFonts w:cs="Arial"/>
          <w:lang w:val="en-GB"/>
        </w:rPr>
      </w:pPr>
      <w:r>
        <w:rPr>
          <w:rFonts w:cs="Arial"/>
          <w:lang w:val="en-GB"/>
        </w:rPr>
        <w:t xml:space="preserve">enhance and publicly report on progress on climate- and environmental diplomacy between </w:t>
      </w:r>
      <w:r w:rsidR="00327CC1">
        <w:rPr>
          <w:rFonts w:cs="Arial"/>
          <w:lang w:val="en-GB"/>
        </w:rPr>
        <w:t xml:space="preserve">the </w:t>
      </w:r>
      <w:r w:rsidR="00D82FD2">
        <w:rPr>
          <w:rFonts w:cs="Arial"/>
          <w:lang w:val="en-GB"/>
        </w:rPr>
        <w:t xml:space="preserve">OECD and non-OECD members </w:t>
      </w:r>
      <w:r w:rsidR="000052CD">
        <w:rPr>
          <w:rFonts w:cs="Arial"/>
          <w:lang w:val="en-GB"/>
        </w:rPr>
        <w:t xml:space="preserve">of the export finance system, </w:t>
      </w:r>
      <w:r w:rsidR="00C06A2A">
        <w:rPr>
          <w:rFonts w:cs="Arial"/>
          <w:lang w:val="en-GB"/>
        </w:rPr>
        <w:t>through the IWG</w:t>
      </w:r>
      <w:r w:rsidR="007F25C2" w:rsidRPr="007F25C2">
        <w:rPr>
          <w:rFonts w:cs="Arial"/>
          <w:lang w:val="en-GB"/>
        </w:rPr>
        <w:t xml:space="preserve"> </w:t>
      </w:r>
      <w:r w:rsidR="007F25C2">
        <w:rPr>
          <w:rFonts w:cs="Arial"/>
          <w:lang w:val="en-GB"/>
        </w:rPr>
        <w:t>with China</w:t>
      </w:r>
      <w:r w:rsidR="001E0A45">
        <w:rPr>
          <w:rFonts w:cs="Arial"/>
          <w:lang w:val="en-GB"/>
        </w:rPr>
        <w:t>;</w:t>
      </w:r>
    </w:p>
    <w:p w14:paraId="5293353C" w14:textId="77777777" w:rsidR="001E0A45" w:rsidRPr="009C3901" w:rsidRDefault="001E0A45" w:rsidP="001E0A45">
      <w:pPr>
        <w:pStyle w:val="Listenabsatz"/>
        <w:numPr>
          <w:ilvl w:val="0"/>
          <w:numId w:val="34"/>
        </w:numPr>
        <w:rPr>
          <w:rFonts w:cs="Arial"/>
          <w:lang w:val="en-GB"/>
        </w:rPr>
      </w:pPr>
      <w:r>
        <w:rPr>
          <w:rFonts w:cs="Arial"/>
          <w:lang w:val="en-GB"/>
        </w:rPr>
        <w:t>deliberate with like-minded countries about forming a new ‘level playing field’ outside the OECD Arrangement to accelerate progress and typify the design of a Paris-aligned and sustainable international export finance regulation;</w:t>
      </w:r>
    </w:p>
    <w:p w14:paraId="746E2333" w14:textId="77777777" w:rsidR="00596BD7" w:rsidRDefault="00E210C6" w:rsidP="00872CC6">
      <w:pPr>
        <w:pStyle w:val="Listenabsatz"/>
        <w:numPr>
          <w:ilvl w:val="0"/>
          <w:numId w:val="34"/>
        </w:numPr>
        <w:rPr>
          <w:rFonts w:cs="Arial"/>
          <w:lang w:val="en-GB"/>
        </w:rPr>
      </w:pPr>
      <w:r>
        <w:rPr>
          <w:rFonts w:cs="Arial"/>
          <w:lang w:val="en-GB"/>
        </w:rPr>
        <w:t xml:space="preserve">promote ambitious </w:t>
      </w:r>
      <w:r w:rsidR="00753AF5">
        <w:rPr>
          <w:rFonts w:cs="Arial"/>
          <w:lang w:val="en-GB"/>
        </w:rPr>
        <w:t xml:space="preserve">climate-related </w:t>
      </w:r>
      <w:r>
        <w:rPr>
          <w:rFonts w:cs="Arial"/>
          <w:lang w:val="en-GB"/>
        </w:rPr>
        <w:t>reforms</w:t>
      </w:r>
      <w:r w:rsidR="00753AF5">
        <w:rPr>
          <w:rFonts w:cs="Arial"/>
          <w:lang w:val="en-GB"/>
        </w:rPr>
        <w:t xml:space="preserve"> for European competition policy</w:t>
      </w:r>
      <w:r>
        <w:rPr>
          <w:rFonts w:cs="Arial"/>
          <w:lang w:val="en-GB"/>
        </w:rPr>
        <w:t xml:space="preserve"> </w:t>
      </w:r>
      <w:r w:rsidR="00481CB9">
        <w:rPr>
          <w:rFonts w:cs="Arial"/>
          <w:lang w:val="en-GB"/>
        </w:rPr>
        <w:t>with the</w:t>
      </w:r>
      <w:r w:rsidR="00BC383D">
        <w:rPr>
          <w:rFonts w:cs="Arial"/>
          <w:lang w:val="en-GB"/>
        </w:rPr>
        <w:t xml:space="preserve"> Directorates-General for</w:t>
      </w:r>
      <w:r w:rsidR="00481CB9">
        <w:rPr>
          <w:rFonts w:cs="Arial"/>
          <w:lang w:val="en-GB"/>
        </w:rPr>
        <w:t xml:space="preserve"> Trade</w:t>
      </w:r>
      <w:r w:rsidR="00BC383D">
        <w:rPr>
          <w:rFonts w:cs="Arial"/>
          <w:lang w:val="en-GB"/>
        </w:rPr>
        <w:t xml:space="preserve"> and Climate</w:t>
      </w:r>
      <w:r w:rsidR="00481CB9">
        <w:rPr>
          <w:rFonts w:cs="Arial"/>
          <w:lang w:val="en-GB"/>
        </w:rPr>
        <w:t xml:space="preserve"> at </w:t>
      </w:r>
      <w:r>
        <w:rPr>
          <w:rFonts w:cs="Arial"/>
          <w:lang w:val="en-GB"/>
        </w:rPr>
        <w:t>the</w:t>
      </w:r>
      <w:r w:rsidR="00B67849">
        <w:rPr>
          <w:rFonts w:cs="Arial"/>
          <w:lang w:val="en-GB"/>
        </w:rPr>
        <w:t xml:space="preserve"> European Commission</w:t>
      </w:r>
      <w:r w:rsidR="003C4F3C">
        <w:rPr>
          <w:rFonts w:cs="Arial"/>
          <w:lang w:val="en-GB"/>
        </w:rPr>
        <w:t>.</w:t>
      </w:r>
    </w:p>
    <w:p w14:paraId="404944A7" w14:textId="77777777" w:rsidR="001274B2" w:rsidRPr="00FC1E5A" w:rsidRDefault="001274B2" w:rsidP="001274B2">
      <w:pPr>
        <w:rPr>
          <w:rFonts w:cs="Arial"/>
          <w:b/>
          <w:bCs/>
          <w:lang w:val="en-GB"/>
        </w:rPr>
      </w:pPr>
      <w:r w:rsidRPr="00FC1E5A">
        <w:rPr>
          <w:rFonts w:cs="Arial"/>
          <w:b/>
          <w:bCs/>
          <w:lang w:val="en-GB"/>
        </w:rPr>
        <w:t xml:space="preserve">Q5.2: </w:t>
      </w:r>
      <w:r w:rsidR="00A87D86" w:rsidRPr="00A87D86">
        <w:rPr>
          <w:rFonts w:cs="Arial"/>
          <w:b/>
          <w:bCs/>
          <w:lang w:val="en-GB"/>
        </w:rPr>
        <w:t>To what extent does the institution itself or its government actively engage in relevant national fora with view to implementing ambitious climate policies in the (national) export finance system?</w:t>
      </w:r>
    </w:p>
    <w:p w14:paraId="55DB8E83" w14:textId="77777777" w:rsidR="00F150E7" w:rsidRDefault="006D58DE" w:rsidP="001274B2">
      <w:pPr>
        <w:rPr>
          <w:rFonts w:cs="Arial"/>
          <w:lang w:val="en-GB"/>
        </w:rPr>
      </w:pPr>
      <w:r>
        <w:rPr>
          <w:rFonts w:cs="Arial"/>
          <w:lang w:val="en-GB"/>
        </w:rPr>
        <w:t>Q5.2</w:t>
      </w:r>
      <w:r w:rsidR="00142114">
        <w:rPr>
          <w:rFonts w:cs="Arial"/>
          <w:lang w:val="en-GB"/>
        </w:rPr>
        <w:t xml:space="preserve"> </w:t>
      </w:r>
      <w:r w:rsidR="00387382">
        <w:rPr>
          <w:rFonts w:cs="Arial"/>
          <w:lang w:val="en-GB"/>
        </w:rPr>
        <w:t xml:space="preserve">was </w:t>
      </w:r>
      <w:r w:rsidR="00534329">
        <w:rPr>
          <w:rFonts w:cs="Arial"/>
          <w:lang w:val="en-GB"/>
        </w:rPr>
        <w:t xml:space="preserve">rated with </w:t>
      </w:r>
      <w:r w:rsidR="008177B9">
        <w:rPr>
          <w:rFonts w:cs="Arial"/>
          <w:lang w:val="en-GB"/>
        </w:rPr>
        <w:t>‘</w:t>
      </w:r>
      <w:r w:rsidR="00534329">
        <w:rPr>
          <w:rFonts w:cs="Arial"/>
          <w:lang w:val="en-GB"/>
        </w:rPr>
        <w:t>Some progress</w:t>
      </w:r>
      <w:r w:rsidR="008177B9">
        <w:rPr>
          <w:rFonts w:cs="Arial"/>
          <w:lang w:val="en-GB"/>
        </w:rPr>
        <w:t>’</w:t>
      </w:r>
      <w:r w:rsidR="00150D09">
        <w:rPr>
          <w:rFonts w:cs="Arial"/>
          <w:lang w:val="en-GB"/>
        </w:rPr>
        <w:t>. This assessment is based</w:t>
      </w:r>
      <w:r w:rsidR="00EF3236">
        <w:rPr>
          <w:rFonts w:cs="Arial"/>
          <w:lang w:val="en-GB"/>
        </w:rPr>
        <w:t xml:space="preserve"> on the </w:t>
      </w:r>
      <w:r w:rsidR="00706EDC">
        <w:rPr>
          <w:rFonts w:cs="Arial"/>
          <w:lang w:val="en-GB"/>
        </w:rPr>
        <w:t>policies</w:t>
      </w:r>
      <w:r w:rsidR="00EF3236">
        <w:rPr>
          <w:rFonts w:cs="Arial"/>
          <w:lang w:val="en-GB"/>
        </w:rPr>
        <w:t xml:space="preserve"> put in place</w:t>
      </w:r>
      <w:r w:rsidR="00706EDC">
        <w:rPr>
          <w:rFonts w:cs="Arial"/>
          <w:lang w:val="en-GB"/>
        </w:rPr>
        <w:t xml:space="preserve"> </w:t>
      </w:r>
      <w:r w:rsidR="00534329">
        <w:rPr>
          <w:rFonts w:cs="Arial"/>
          <w:lang w:val="en-GB"/>
        </w:rPr>
        <w:t>to improve the financing terms and conditions for green exports</w:t>
      </w:r>
      <w:r w:rsidR="00A24F5E">
        <w:rPr>
          <w:rFonts w:cs="Arial"/>
          <w:lang w:val="en-GB"/>
        </w:rPr>
        <w:t>, especially supporting innovation from small and medium-sized enterprises</w:t>
      </w:r>
      <w:r w:rsidR="00534329">
        <w:rPr>
          <w:rFonts w:cs="Arial"/>
          <w:lang w:val="en-GB"/>
        </w:rPr>
        <w:t xml:space="preserve"> (Atradius DSB 2020). </w:t>
      </w:r>
      <w:r w:rsidR="00FF4E03">
        <w:rPr>
          <w:rFonts w:cs="Arial"/>
          <w:lang w:val="en-GB"/>
        </w:rPr>
        <w:t xml:space="preserve">There is no evidence that the Dutch government would </w:t>
      </w:r>
      <w:r w:rsidR="00EF3236">
        <w:rPr>
          <w:rFonts w:cs="Arial"/>
          <w:lang w:val="en-GB"/>
        </w:rPr>
        <w:t xml:space="preserve">obstruct </w:t>
      </w:r>
      <w:r w:rsidR="00FF4E03">
        <w:rPr>
          <w:rFonts w:cs="Arial"/>
          <w:lang w:val="en-GB"/>
        </w:rPr>
        <w:t>such reforms</w:t>
      </w:r>
      <w:r w:rsidR="00395447">
        <w:rPr>
          <w:rFonts w:cs="Arial"/>
          <w:lang w:val="en-GB"/>
        </w:rPr>
        <w:t xml:space="preserve"> at national level</w:t>
      </w:r>
      <w:r w:rsidR="00471B24">
        <w:rPr>
          <w:rFonts w:cs="Arial"/>
          <w:lang w:val="en-GB"/>
        </w:rPr>
        <w:t xml:space="preserve">; </w:t>
      </w:r>
      <w:r w:rsidR="00EF3236">
        <w:rPr>
          <w:rFonts w:cs="Arial"/>
          <w:lang w:val="en-GB"/>
        </w:rPr>
        <w:t xml:space="preserve">but rather </w:t>
      </w:r>
      <w:r w:rsidR="00CF5B93">
        <w:rPr>
          <w:rFonts w:cs="Arial"/>
          <w:lang w:val="en-GB"/>
        </w:rPr>
        <w:t>promote innovation in climate-related fields</w:t>
      </w:r>
      <w:r w:rsidR="00395447">
        <w:rPr>
          <w:rFonts w:cs="Arial"/>
          <w:lang w:val="en-GB"/>
        </w:rPr>
        <w:t xml:space="preserve"> as long as it does not </w:t>
      </w:r>
      <w:r w:rsidR="008C7387">
        <w:rPr>
          <w:rFonts w:cs="Arial"/>
          <w:lang w:val="en-GB"/>
        </w:rPr>
        <w:t>put domestic employment at risk</w:t>
      </w:r>
      <w:r w:rsidR="00CF5B93">
        <w:rPr>
          <w:rFonts w:cs="Arial"/>
          <w:lang w:val="en-GB"/>
        </w:rPr>
        <w:t xml:space="preserve">. </w:t>
      </w:r>
      <w:r w:rsidR="00FB67E1">
        <w:rPr>
          <w:rFonts w:cs="Arial"/>
          <w:lang w:val="en-GB"/>
        </w:rPr>
        <w:t xml:space="preserve">Moreover, the Ministry of Finance and Atradius DSB have </w:t>
      </w:r>
      <w:r w:rsidR="00FB67E1" w:rsidRPr="00FB67E1">
        <w:rPr>
          <w:rFonts w:cs="Arial"/>
          <w:lang w:val="en-GB"/>
        </w:rPr>
        <w:t>organised a national</w:t>
      </w:r>
      <w:r w:rsidR="00FB67E1">
        <w:rPr>
          <w:rFonts w:cs="Arial"/>
          <w:lang w:val="en-GB"/>
        </w:rPr>
        <w:t>-level</w:t>
      </w:r>
      <w:r w:rsidR="00FB67E1" w:rsidRPr="00FB67E1">
        <w:rPr>
          <w:rFonts w:cs="Arial"/>
          <w:lang w:val="en-GB"/>
        </w:rPr>
        <w:t xml:space="preserve"> </w:t>
      </w:r>
      <w:r w:rsidR="00FB67E1">
        <w:rPr>
          <w:rFonts w:cs="Arial"/>
          <w:lang w:val="en-GB"/>
        </w:rPr>
        <w:t xml:space="preserve">workshop </w:t>
      </w:r>
      <w:r w:rsidR="00FB67E1" w:rsidRPr="00FB67E1">
        <w:rPr>
          <w:rFonts w:cs="Arial"/>
          <w:lang w:val="en-GB"/>
        </w:rPr>
        <w:t xml:space="preserve">on </w:t>
      </w:r>
      <w:r w:rsidR="000E6EFE">
        <w:rPr>
          <w:rFonts w:cs="Arial"/>
          <w:lang w:val="en-GB"/>
        </w:rPr>
        <w:t>aligning</w:t>
      </w:r>
      <w:r w:rsidR="00FB67E1" w:rsidRPr="00FB67E1">
        <w:rPr>
          <w:rFonts w:cs="Arial"/>
          <w:lang w:val="en-GB"/>
        </w:rPr>
        <w:t xml:space="preserve"> A</w:t>
      </w:r>
      <w:r w:rsidR="00D87745">
        <w:rPr>
          <w:rFonts w:cs="Arial"/>
          <w:lang w:val="en-GB"/>
        </w:rPr>
        <w:t xml:space="preserve">tradius </w:t>
      </w:r>
      <w:r w:rsidR="00FB67E1" w:rsidRPr="00FB67E1">
        <w:rPr>
          <w:rFonts w:cs="Arial"/>
          <w:lang w:val="en-GB"/>
        </w:rPr>
        <w:t>DSB</w:t>
      </w:r>
      <w:r w:rsidR="00D87745">
        <w:rPr>
          <w:rFonts w:cs="Arial"/>
          <w:lang w:val="en-GB"/>
        </w:rPr>
        <w:t xml:space="preserve"> with the Paris Agreement, including the participation of </w:t>
      </w:r>
      <w:r w:rsidR="00D87745" w:rsidRPr="00D87745">
        <w:rPr>
          <w:rFonts w:cs="Arial"/>
          <w:lang w:val="en-GB"/>
        </w:rPr>
        <w:t>NGOs, banks, exporters</w:t>
      </w:r>
      <w:r w:rsidR="00D87745">
        <w:rPr>
          <w:rFonts w:cs="Arial"/>
          <w:lang w:val="en-GB"/>
        </w:rPr>
        <w:t xml:space="preserve"> and</w:t>
      </w:r>
      <w:r w:rsidR="00D87745" w:rsidRPr="00D87745">
        <w:rPr>
          <w:rFonts w:cs="Arial"/>
          <w:lang w:val="en-GB"/>
        </w:rPr>
        <w:t xml:space="preserve"> climate scientists</w:t>
      </w:r>
      <w:r w:rsidR="00E0062B">
        <w:rPr>
          <w:rFonts w:cs="Arial"/>
          <w:lang w:val="en-GB"/>
        </w:rPr>
        <w:t xml:space="preserve">. </w:t>
      </w:r>
    </w:p>
    <w:p w14:paraId="62F71B3E" w14:textId="77777777" w:rsidR="00EF3236" w:rsidRDefault="007C45E6" w:rsidP="001274B2">
      <w:pPr>
        <w:rPr>
          <w:rFonts w:cs="Arial"/>
          <w:lang w:val="en-GB"/>
        </w:rPr>
      </w:pPr>
      <w:r>
        <w:rPr>
          <w:rFonts w:cs="Arial"/>
          <w:lang w:val="en-GB"/>
        </w:rPr>
        <w:t xml:space="preserve">We recommend that the Dutch government </w:t>
      </w:r>
      <w:r w:rsidR="000433C2">
        <w:rPr>
          <w:rFonts w:cs="Arial"/>
          <w:lang w:val="en-GB"/>
        </w:rPr>
        <w:t>further strengthens</w:t>
      </w:r>
      <w:r w:rsidR="00A17022">
        <w:rPr>
          <w:rFonts w:cs="Arial"/>
          <w:lang w:val="en-GB"/>
        </w:rPr>
        <w:t xml:space="preserve"> and regularizes</w:t>
      </w:r>
      <w:r w:rsidR="000433C2">
        <w:rPr>
          <w:rFonts w:cs="Arial"/>
          <w:lang w:val="en-GB"/>
        </w:rPr>
        <w:t xml:space="preserve"> such type of outreach activities and ensures the participation of civil society actors, including NGOs and research institutions. Moreover, we recommend that it </w:t>
      </w:r>
      <w:r>
        <w:rPr>
          <w:rFonts w:cs="Arial"/>
          <w:lang w:val="en-GB"/>
        </w:rPr>
        <w:t xml:space="preserve">elaborates a broader </w:t>
      </w:r>
      <w:r w:rsidR="003704A0">
        <w:rPr>
          <w:rFonts w:cs="Arial"/>
          <w:lang w:val="en-GB"/>
        </w:rPr>
        <w:t xml:space="preserve">national-level and government-wide </w:t>
      </w:r>
      <w:r w:rsidR="006F6ED2">
        <w:rPr>
          <w:rFonts w:cs="Arial"/>
          <w:lang w:val="en-GB"/>
        </w:rPr>
        <w:t xml:space="preserve">strategy to </w:t>
      </w:r>
      <w:r w:rsidR="005E4ED5">
        <w:rPr>
          <w:rFonts w:cs="Arial"/>
          <w:lang w:val="en-GB"/>
        </w:rPr>
        <w:t xml:space="preserve">fully </w:t>
      </w:r>
      <w:r w:rsidR="006F6ED2">
        <w:rPr>
          <w:rFonts w:cs="Arial"/>
          <w:lang w:val="en-GB"/>
        </w:rPr>
        <w:t>align its entire export sector</w:t>
      </w:r>
      <w:r w:rsidR="002E3CC2" w:rsidRPr="002E3CC2">
        <w:rPr>
          <w:rFonts w:cs="Arial"/>
          <w:lang w:val="en-GB"/>
        </w:rPr>
        <w:t xml:space="preserve"> </w:t>
      </w:r>
      <w:r w:rsidR="002E3CC2">
        <w:rPr>
          <w:rFonts w:cs="Arial"/>
          <w:lang w:val="en-GB"/>
        </w:rPr>
        <w:t>with the Paris Agreement</w:t>
      </w:r>
      <w:r w:rsidR="006F6ED2">
        <w:rPr>
          <w:rFonts w:cs="Arial"/>
          <w:lang w:val="en-GB"/>
        </w:rPr>
        <w:t>, including</w:t>
      </w:r>
      <w:r w:rsidR="000720FB">
        <w:rPr>
          <w:rFonts w:cs="Arial"/>
          <w:lang w:val="en-GB"/>
        </w:rPr>
        <w:t xml:space="preserve"> – but not limited to -</w:t>
      </w:r>
      <w:r w:rsidR="006F6ED2">
        <w:rPr>
          <w:rFonts w:cs="Arial"/>
          <w:lang w:val="en-GB"/>
        </w:rPr>
        <w:t xml:space="preserve"> officially supported export finance. </w:t>
      </w:r>
      <w:r w:rsidR="00286B84">
        <w:rPr>
          <w:rFonts w:cs="Arial"/>
          <w:lang w:val="en-GB"/>
        </w:rPr>
        <w:t>Atradius DSB should also more closely collaborate with other</w:t>
      </w:r>
      <w:r w:rsidR="00D367D4">
        <w:rPr>
          <w:rFonts w:cs="Arial"/>
          <w:lang w:val="en-GB"/>
        </w:rPr>
        <w:t xml:space="preserve"> </w:t>
      </w:r>
      <w:r w:rsidR="00286B84">
        <w:rPr>
          <w:rFonts w:cs="Arial"/>
          <w:lang w:val="en-GB"/>
        </w:rPr>
        <w:t xml:space="preserve">relevant </w:t>
      </w:r>
      <w:r w:rsidR="00D367D4">
        <w:rPr>
          <w:rFonts w:cs="Arial"/>
          <w:lang w:val="en-GB"/>
        </w:rPr>
        <w:t xml:space="preserve">actors, such as the </w:t>
      </w:r>
      <w:r w:rsidR="00D367D4" w:rsidRPr="00D367D4">
        <w:rPr>
          <w:rFonts w:cs="Arial"/>
          <w:lang w:val="en-GB"/>
        </w:rPr>
        <w:t>Dutch Entrepreneurial Development Bank</w:t>
      </w:r>
      <w:r w:rsidR="00D367D4">
        <w:rPr>
          <w:rFonts w:cs="Arial"/>
          <w:lang w:val="en-GB"/>
        </w:rPr>
        <w:t xml:space="preserve"> (FMO) </w:t>
      </w:r>
      <w:r w:rsidR="002E3FF1">
        <w:rPr>
          <w:rFonts w:cs="Arial"/>
          <w:lang w:val="en-GB"/>
        </w:rPr>
        <w:t>which is in several aspects more advanced as far as phasing out support for fossil fuels in its direct investment portfolio is concerned (e.g., see FMO 2021).</w:t>
      </w:r>
      <w:r w:rsidR="00191DBB">
        <w:rPr>
          <w:rFonts w:cs="Arial"/>
          <w:lang w:val="en-GB"/>
        </w:rPr>
        <w:t xml:space="preserve"> </w:t>
      </w:r>
    </w:p>
    <w:p w14:paraId="3CDD09B1" w14:textId="77777777" w:rsidR="001274B2" w:rsidRPr="00FC1E5A" w:rsidRDefault="001274B2" w:rsidP="001274B2">
      <w:pPr>
        <w:rPr>
          <w:rFonts w:cs="Arial"/>
          <w:b/>
          <w:bCs/>
          <w:lang w:val="en-GB"/>
        </w:rPr>
      </w:pPr>
      <w:r w:rsidRPr="00FC1E5A">
        <w:rPr>
          <w:rFonts w:cs="Arial"/>
          <w:b/>
          <w:bCs/>
          <w:lang w:val="en-GB"/>
        </w:rPr>
        <w:t xml:space="preserve">Q5.3: </w:t>
      </w:r>
      <w:r w:rsidR="00A87D86" w:rsidRPr="00A87D86">
        <w:rPr>
          <w:rFonts w:cs="Arial"/>
          <w:b/>
          <w:bCs/>
          <w:lang w:val="en-GB"/>
        </w:rPr>
        <w:t xml:space="preserve">To what extent does the institution or its government actively engage with national companies to transform fossil fuel-related value chains and incentivize low GHG exports? </w:t>
      </w:r>
    </w:p>
    <w:p w14:paraId="06C9A1EC" w14:textId="7E01DC07" w:rsidR="001274B2" w:rsidRPr="00FC1E5A" w:rsidRDefault="006D58DE" w:rsidP="00173CA4">
      <w:pPr>
        <w:rPr>
          <w:rFonts w:cs="Arial"/>
          <w:lang w:val="en-GB"/>
        </w:rPr>
      </w:pPr>
      <w:r>
        <w:rPr>
          <w:rFonts w:cs="Arial"/>
          <w:lang w:val="en-GB"/>
        </w:rPr>
        <w:t>Q5.3</w:t>
      </w:r>
      <w:r w:rsidR="00142114">
        <w:rPr>
          <w:rFonts w:cs="Arial"/>
          <w:lang w:val="en-GB"/>
        </w:rPr>
        <w:t xml:space="preserve"> </w:t>
      </w:r>
      <w:r w:rsidR="00387382">
        <w:rPr>
          <w:rFonts w:cs="Arial"/>
          <w:lang w:val="en-GB"/>
        </w:rPr>
        <w:t xml:space="preserve">was </w:t>
      </w:r>
      <w:r w:rsidR="003A2993">
        <w:rPr>
          <w:rFonts w:cs="Arial"/>
          <w:lang w:val="en-GB"/>
        </w:rPr>
        <w:t xml:space="preserve">rated with </w:t>
      </w:r>
      <w:r w:rsidR="008177B9">
        <w:rPr>
          <w:rFonts w:cs="Arial"/>
          <w:lang w:val="en-GB"/>
        </w:rPr>
        <w:t>‘</w:t>
      </w:r>
      <w:r w:rsidR="00431542">
        <w:rPr>
          <w:rFonts w:cs="Arial"/>
          <w:lang w:val="en-GB"/>
        </w:rPr>
        <w:t>Some Progress</w:t>
      </w:r>
      <w:r w:rsidR="0052387F">
        <w:rPr>
          <w:rFonts w:cs="Arial"/>
          <w:lang w:val="en-GB"/>
        </w:rPr>
        <w:t>’</w:t>
      </w:r>
      <w:r w:rsidR="003F704D">
        <w:rPr>
          <w:rFonts w:cs="Arial"/>
          <w:lang w:val="en-GB"/>
        </w:rPr>
        <w:t>.</w:t>
      </w:r>
      <w:r w:rsidR="004C1472">
        <w:rPr>
          <w:rFonts w:cs="Arial"/>
          <w:lang w:val="en-GB"/>
        </w:rPr>
        <w:t xml:space="preserve"> </w:t>
      </w:r>
      <w:r w:rsidR="008F5BA4" w:rsidRPr="008F5BA4">
        <w:rPr>
          <w:rFonts w:cs="Arial"/>
          <w:lang w:val="en-GB"/>
        </w:rPr>
        <w:t xml:space="preserve">Atradius DSB is in close contact with its clients, both exporters and banks from the Netherlands, and their </w:t>
      </w:r>
      <w:r w:rsidR="008F5C1B">
        <w:rPr>
          <w:rFonts w:cs="Arial"/>
          <w:lang w:val="en-GB"/>
        </w:rPr>
        <w:t>‘</w:t>
      </w:r>
      <w:r w:rsidR="008F5BA4" w:rsidRPr="008F5BA4">
        <w:rPr>
          <w:rFonts w:cs="Arial"/>
          <w:lang w:val="en-GB"/>
        </w:rPr>
        <w:t>green</w:t>
      </w:r>
      <w:r w:rsidR="008F5C1B">
        <w:rPr>
          <w:rFonts w:cs="Arial"/>
          <w:lang w:val="en-GB"/>
        </w:rPr>
        <w:t>’</w:t>
      </w:r>
      <w:r w:rsidR="008F5BA4" w:rsidRPr="008F5BA4">
        <w:rPr>
          <w:rFonts w:cs="Arial"/>
          <w:lang w:val="en-GB"/>
        </w:rPr>
        <w:t xml:space="preserve"> incentive schemes, discussed </w:t>
      </w:r>
      <w:r w:rsidR="008F5C1B">
        <w:rPr>
          <w:rFonts w:cs="Arial"/>
          <w:lang w:val="en-GB"/>
        </w:rPr>
        <w:t>under</w:t>
      </w:r>
      <w:r w:rsidR="008F5BA4" w:rsidRPr="008F5BA4">
        <w:rPr>
          <w:rFonts w:cs="Arial"/>
          <w:lang w:val="en-GB"/>
        </w:rPr>
        <w:t xml:space="preserve"> </w:t>
      </w:r>
      <w:r w:rsidR="008F5C1B">
        <w:rPr>
          <w:rFonts w:cs="Arial"/>
          <w:lang w:val="en-GB"/>
        </w:rPr>
        <w:t>Q</w:t>
      </w:r>
      <w:r w:rsidR="008F5BA4" w:rsidRPr="008F5BA4">
        <w:rPr>
          <w:rFonts w:cs="Arial"/>
          <w:lang w:val="en-GB"/>
        </w:rPr>
        <w:t>4.3, can be seen as a first stepping</w:t>
      </w:r>
      <w:r w:rsidR="008F5C1B">
        <w:rPr>
          <w:rFonts w:cs="Arial"/>
          <w:lang w:val="en-GB"/>
        </w:rPr>
        <w:t xml:space="preserve"> </w:t>
      </w:r>
      <w:r w:rsidR="008F5BA4" w:rsidRPr="008F5BA4">
        <w:rPr>
          <w:rFonts w:cs="Arial"/>
          <w:lang w:val="en-GB"/>
        </w:rPr>
        <w:t xml:space="preserve">stone to play a proactive role in enabling innovation and marketing of goods and services in low GHG emitting sectors in export markets.  </w:t>
      </w:r>
      <w:r w:rsidR="00E129BD">
        <w:rPr>
          <w:rFonts w:cs="Arial"/>
          <w:lang w:val="en-GB"/>
        </w:rPr>
        <w:t xml:space="preserve">ECAs are </w:t>
      </w:r>
      <w:r w:rsidR="00E1472E">
        <w:rPr>
          <w:rFonts w:cs="Arial"/>
          <w:lang w:val="en-GB"/>
        </w:rPr>
        <w:t xml:space="preserve">typically </w:t>
      </w:r>
      <w:r w:rsidR="00296D0E">
        <w:rPr>
          <w:rFonts w:cs="Arial"/>
          <w:lang w:val="en-GB"/>
        </w:rPr>
        <w:t>perceived</w:t>
      </w:r>
      <w:r w:rsidR="00E129BD">
        <w:rPr>
          <w:rFonts w:cs="Arial"/>
          <w:lang w:val="en-GB"/>
        </w:rPr>
        <w:t xml:space="preserve"> as </w:t>
      </w:r>
      <w:r w:rsidR="00662BFE">
        <w:rPr>
          <w:rFonts w:cs="Arial"/>
          <w:lang w:val="en-GB"/>
        </w:rPr>
        <w:t xml:space="preserve">only </w:t>
      </w:r>
      <w:r w:rsidR="00E129BD">
        <w:rPr>
          <w:rFonts w:cs="Arial"/>
          <w:lang w:val="en-GB"/>
        </w:rPr>
        <w:t xml:space="preserve">demand-driven. </w:t>
      </w:r>
      <w:r w:rsidR="00956987">
        <w:rPr>
          <w:rFonts w:cs="Arial"/>
          <w:lang w:val="en-GB"/>
        </w:rPr>
        <w:t>However,</w:t>
      </w:r>
      <w:r w:rsidR="004C24F5">
        <w:rPr>
          <w:rFonts w:cs="Arial"/>
          <w:lang w:val="en-GB"/>
        </w:rPr>
        <w:t xml:space="preserve"> this is no </w:t>
      </w:r>
      <w:r w:rsidR="008177B9">
        <w:rPr>
          <w:rFonts w:cs="Arial"/>
          <w:lang w:val="en-GB"/>
        </w:rPr>
        <w:t>‘</w:t>
      </w:r>
      <w:r w:rsidR="004C24F5">
        <w:rPr>
          <w:rFonts w:cs="Arial"/>
          <w:lang w:val="en-GB"/>
        </w:rPr>
        <w:t>given</w:t>
      </w:r>
      <w:r w:rsidR="008177B9">
        <w:rPr>
          <w:rFonts w:cs="Arial"/>
          <w:lang w:val="en-GB"/>
        </w:rPr>
        <w:t>’</w:t>
      </w:r>
      <w:r w:rsidR="004C24F5">
        <w:rPr>
          <w:rFonts w:cs="Arial"/>
          <w:lang w:val="en-GB"/>
        </w:rPr>
        <w:t xml:space="preserve"> and we recommend th</w:t>
      </w:r>
      <w:r w:rsidR="00173CA4">
        <w:rPr>
          <w:rFonts w:cs="Arial"/>
          <w:lang w:val="en-GB"/>
        </w:rPr>
        <w:t xml:space="preserve">at both Atradius DSB and the Dutch government </w:t>
      </w:r>
      <w:r w:rsidR="008F5BA4">
        <w:rPr>
          <w:rFonts w:cs="Arial"/>
          <w:lang w:val="en-GB"/>
        </w:rPr>
        <w:t xml:space="preserve">to deepen their </w:t>
      </w:r>
      <w:r w:rsidR="00173CA4">
        <w:rPr>
          <w:rFonts w:cs="Arial"/>
          <w:lang w:val="en-GB"/>
        </w:rPr>
        <w:t>engag</w:t>
      </w:r>
      <w:r w:rsidR="008F5BA4">
        <w:rPr>
          <w:rFonts w:cs="Arial"/>
          <w:lang w:val="en-GB"/>
        </w:rPr>
        <w:t>ement</w:t>
      </w:r>
      <w:r w:rsidR="00173CA4">
        <w:rPr>
          <w:rFonts w:cs="Arial"/>
          <w:lang w:val="en-GB"/>
        </w:rPr>
        <w:t xml:space="preserve"> with their clients, in particular in the oil and gas sector, to </w:t>
      </w:r>
      <w:r w:rsidR="005F68FF">
        <w:rPr>
          <w:rFonts w:cs="Arial"/>
          <w:lang w:val="en-GB"/>
        </w:rPr>
        <w:t>identify ways and means of transforming their export businesses</w:t>
      </w:r>
      <w:r w:rsidR="003B5987">
        <w:rPr>
          <w:rFonts w:cs="Arial"/>
          <w:lang w:val="en-GB"/>
        </w:rPr>
        <w:t xml:space="preserve"> and putting in place complementary policy measures to compensate for short-term economic </w:t>
      </w:r>
      <w:r w:rsidR="00537245">
        <w:rPr>
          <w:rFonts w:cs="Arial"/>
          <w:lang w:val="en-GB"/>
        </w:rPr>
        <w:t>losses</w:t>
      </w:r>
      <w:r w:rsidR="003B5987">
        <w:rPr>
          <w:rFonts w:cs="Arial"/>
          <w:lang w:val="en-GB"/>
        </w:rPr>
        <w:t>, such as employment transition</w:t>
      </w:r>
      <w:r w:rsidR="001751BA">
        <w:rPr>
          <w:rFonts w:cs="Arial"/>
          <w:lang w:val="en-GB"/>
        </w:rPr>
        <w:t xml:space="preserve"> or</w:t>
      </w:r>
      <w:r w:rsidR="003B5987">
        <w:rPr>
          <w:rFonts w:cs="Arial"/>
          <w:lang w:val="en-GB"/>
        </w:rPr>
        <w:t xml:space="preserve"> </w:t>
      </w:r>
      <w:r w:rsidR="001751BA">
        <w:rPr>
          <w:rFonts w:cs="Arial"/>
          <w:lang w:val="en-GB"/>
        </w:rPr>
        <w:t>compensation management</w:t>
      </w:r>
      <w:r w:rsidR="005F68FF">
        <w:rPr>
          <w:rFonts w:cs="Arial"/>
          <w:lang w:val="en-GB"/>
        </w:rPr>
        <w:t>.</w:t>
      </w:r>
      <w:r w:rsidR="005A615F">
        <w:rPr>
          <w:rFonts w:cs="Arial"/>
          <w:lang w:val="en-GB"/>
        </w:rPr>
        <w:t xml:space="preserve"> The government will have to strike a balance between getting the </w:t>
      </w:r>
      <w:r w:rsidR="005A615F">
        <w:rPr>
          <w:rFonts w:cs="Arial"/>
          <w:lang w:val="en-GB"/>
        </w:rPr>
        <w:lastRenderedPageBreak/>
        <w:t xml:space="preserve">companies to pay for the transition – </w:t>
      </w:r>
      <w:r w:rsidR="00895661">
        <w:rPr>
          <w:rFonts w:cs="Arial"/>
          <w:lang w:val="en-GB"/>
        </w:rPr>
        <w:t>e.g.,</w:t>
      </w:r>
      <w:r w:rsidR="005A615F">
        <w:rPr>
          <w:rFonts w:cs="Arial"/>
          <w:lang w:val="en-GB"/>
        </w:rPr>
        <w:t xml:space="preserve"> retraining of workers – and the government carrying these costs.</w:t>
      </w:r>
      <w:r w:rsidR="00E92212">
        <w:rPr>
          <w:rFonts w:cs="Arial"/>
          <w:lang w:val="en-GB"/>
        </w:rPr>
        <w:t xml:space="preserve"> </w:t>
      </w:r>
      <w:r w:rsidR="005A615F">
        <w:rPr>
          <w:rFonts w:cs="Arial"/>
          <w:lang w:val="en-GB"/>
        </w:rPr>
        <w:t>More s</w:t>
      </w:r>
      <w:r w:rsidR="00D55191">
        <w:rPr>
          <w:rFonts w:cs="Arial"/>
          <w:lang w:val="en-GB"/>
        </w:rPr>
        <w:t xml:space="preserve">pecifically, we urge the Dutch government to conduct national-level surveying among exporters </w:t>
      </w:r>
      <w:r w:rsidR="005871A8">
        <w:rPr>
          <w:rFonts w:cs="Arial"/>
          <w:lang w:val="en-GB"/>
        </w:rPr>
        <w:t xml:space="preserve">with regards to identifying the opinions, needs and opportunities in the private </w:t>
      </w:r>
      <w:r w:rsidR="00BE7A4E">
        <w:rPr>
          <w:rFonts w:cs="Arial"/>
          <w:lang w:val="en-GB"/>
        </w:rPr>
        <w:t xml:space="preserve">export </w:t>
      </w:r>
      <w:r w:rsidR="005871A8">
        <w:rPr>
          <w:rFonts w:cs="Arial"/>
          <w:lang w:val="en-GB"/>
        </w:rPr>
        <w:t xml:space="preserve">sector about ambitious </w:t>
      </w:r>
      <w:r w:rsidR="009D0296">
        <w:rPr>
          <w:rFonts w:cs="Arial"/>
          <w:lang w:val="en-GB"/>
        </w:rPr>
        <w:t xml:space="preserve">plans to </w:t>
      </w:r>
      <w:r w:rsidR="005871A8">
        <w:rPr>
          <w:rFonts w:cs="Arial"/>
          <w:lang w:val="en-GB"/>
        </w:rPr>
        <w:t xml:space="preserve">phase out support for </w:t>
      </w:r>
      <w:r w:rsidR="00F45506">
        <w:rPr>
          <w:rFonts w:cs="Arial"/>
          <w:lang w:val="en-GB"/>
        </w:rPr>
        <w:t xml:space="preserve">fossil fuel value chains. This should include, for instance, </w:t>
      </w:r>
      <w:r w:rsidR="00920B37">
        <w:rPr>
          <w:rFonts w:cs="Arial"/>
          <w:lang w:val="en-GB"/>
        </w:rPr>
        <w:t xml:space="preserve">general </w:t>
      </w:r>
      <w:r w:rsidR="00F45506">
        <w:rPr>
          <w:rFonts w:cs="Arial"/>
          <w:lang w:val="en-GB"/>
        </w:rPr>
        <w:t xml:space="preserve">questions about the </w:t>
      </w:r>
      <w:r w:rsidR="00920B37">
        <w:rPr>
          <w:rFonts w:cs="Arial"/>
          <w:lang w:val="en-GB"/>
        </w:rPr>
        <w:t xml:space="preserve">attitude </w:t>
      </w:r>
      <w:r w:rsidR="00B01DD5">
        <w:rPr>
          <w:rFonts w:cs="Arial"/>
          <w:lang w:val="en-GB"/>
        </w:rPr>
        <w:t>of Dutch exporters to</w:t>
      </w:r>
      <w:r w:rsidR="00CB0612">
        <w:rPr>
          <w:rFonts w:cs="Arial"/>
          <w:lang w:val="en-GB"/>
        </w:rPr>
        <w:t>wards</w:t>
      </w:r>
      <w:r w:rsidR="00B01DD5">
        <w:rPr>
          <w:rFonts w:cs="Arial"/>
          <w:lang w:val="en-GB"/>
        </w:rPr>
        <w:t xml:space="preserve"> tak</w:t>
      </w:r>
      <w:r w:rsidR="00CB0612">
        <w:rPr>
          <w:rFonts w:cs="Arial"/>
          <w:lang w:val="en-GB"/>
        </w:rPr>
        <w:t>ing</w:t>
      </w:r>
      <w:r w:rsidR="00B01DD5">
        <w:rPr>
          <w:rFonts w:cs="Arial"/>
          <w:lang w:val="en-GB"/>
        </w:rPr>
        <w:t xml:space="preserve"> part in the transition (for an example see a study by Bright Blue (2021) on the UK)</w:t>
      </w:r>
      <w:r w:rsidR="00920B37">
        <w:rPr>
          <w:rFonts w:cs="Arial"/>
          <w:lang w:val="en-GB"/>
        </w:rPr>
        <w:t xml:space="preserve"> as well as specific questions </w:t>
      </w:r>
      <w:r w:rsidR="00AF0532">
        <w:rPr>
          <w:rFonts w:cs="Arial"/>
          <w:lang w:val="en-GB"/>
        </w:rPr>
        <w:t>regarding anticipated job or sales losses (e.g., see the Swedish ECA EKN (2020) which has conducted similar assessments with major exporters)</w:t>
      </w:r>
      <w:r w:rsidR="00104666">
        <w:rPr>
          <w:rFonts w:cs="Arial"/>
          <w:lang w:val="en-GB"/>
        </w:rPr>
        <w:t xml:space="preserve">. </w:t>
      </w:r>
      <w:r w:rsidR="00471B8E">
        <w:rPr>
          <w:rFonts w:cs="Arial"/>
          <w:lang w:val="en-GB"/>
        </w:rPr>
        <w:t>Moreover,</w:t>
      </w:r>
      <w:r w:rsidR="00FD327E">
        <w:rPr>
          <w:rFonts w:cs="Arial"/>
          <w:lang w:val="en-GB"/>
        </w:rPr>
        <w:t xml:space="preserve"> next to liaison with companies,</w:t>
      </w:r>
      <w:r w:rsidR="00471B8E">
        <w:rPr>
          <w:rFonts w:cs="Arial"/>
          <w:lang w:val="en-GB"/>
        </w:rPr>
        <w:t xml:space="preserve"> we recommend to </w:t>
      </w:r>
      <w:r w:rsidR="007A4D41">
        <w:rPr>
          <w:rFonts w:cs="Arial"/>
          <w:lang w:val="en-GB"/>
        </w:rPr>
        <w:t xml:space="preserve">engage </w:t>
      </w:r>
      <w:r w:rsidR="00471B8E">
        <w:rPr>
          <w:rFonts w:cs="Arial"/>
          <w:lang w:val="en-GB"/>
        </w:rPr>
        <w:t xml:space="preserve">with national and international research institutions </w:t>
      </w:r>
      <w:r w:rsidR="00EC644F">
        <w:rPr>
          <w:rFonts w:cs="Arial"/>
          <w:lang w:val="en-GB"/>
        </w:rPr>
        <w:t xml:space="preserve">and establish </w:t>
      </w:r>
      <w:r w:rsidR="00FA795D">
        <w:rPr>
          <w:rFonts w:cs="Arial"/>
          <w:lang w:val="en-GB"/>
        </w:rPr>
        <w:t>a scientific advisory council on climate change and export finance also following the Swedish example (</w:t>
      </w:r>
      <w:r w:rsidR="00FA795D">
        <w:rPr>
          <w:rFonts w:cs="Arial"/>
          <w:i/>
          <w:lang w:val="en-GB"/>
        </w:rPr>
        <w:t>ibid</w:t>
      </w:r>
      <w:r w:rsidR="00FA795D">
        <w:rPr>
          <w:rFonts w:cs="Arial"/>
          <w:lang w:val="en-GB"/>
        </w:rPr>
        <w:t>.).</w:t>
      </w:r>
      <w:r w:rsidR="00FB0B38">
        <w:rPr>
          <w:rFonts w:cs="Arial"/>
          <w:lang w:val="en-GB"/>
        </w:rPr>
        <w:t xml:space="preserve"> This is highly relevant to take the most recent developments </w:t>
      </w:r>
      <w:r w:rsidR="00F0433B">
        <w:rPr>
          <w:rFonts w:cs="Arial"/>
          <w:lang w:val="en-GB"/>
        </w:rPr>
        <w:t xml:space="preserve">at the frontier of climate science into account in the </w:t>
      </w:r>
      <w:r w:rsidR="002D4764">
        <w:rPr>
          <w:rFonts w:cs="Arial"/>
          <w:lang w:val="en-GB"/>
        </w:rPr>
        <w:t>ambition of Dutch</w:t>
      </w:r>
      <w:r w:rsidR="00F0433B">
        <w:rPr>
          <w:rFonts w:cs="Arial"/>
          <w:lang w:val="en-GB"/>
        </w:rPr>
        <w:t xml:space="preserve"> polic</w:t>
      </w:r>
      <w:r w:rsidR="007A0893">
        <w:rPr>
          <w:rFonts w:cs="Arial"/>
          <w:lang w:val="en-GB"/>
        </w:rPr>
        <w:t>ies</w:t>
      </w:r>
      <w:r w:rsidR="00F0433B">
        <w:rPr>
          <w:rFonts w:cs="Arial"/>
          <w:lang w:val="en-GB"/>
        </w:rPr>
        <w:t xml:space="preserve"> </w:t>
      </w:r>
      <w:r w:rsidR="002D4764">
        <w:rPr>
          <w:rFonts w:cs="Arial"/>
          <w:lang w:val="en-GB"/>
        </w:rPr>
        <w:t>in officially supported export finance</w:t>
      </w:r>
      <w:r w:rsidR="00F0433B">
        <w:rPr>
          <w:rFonts w:cs="Arial"/>
          <w:lang w:val="en-GB"/>
        </w:rPr>
        <w:t>.</w:t>
      </w:r>
    </w:p>
    <w:p w14:paraId="00558D51" w14:textId="77777777" w:rsidR="001274B2" w:rsidRPr="00FC1E5A" w:rsidRDefault="001274B2" w:rsidP="001274B2">
      <w:pPr>
        <w:pStyle w:val="berschrift1"/>
        <w:rPr>
          <w:rFonts w:ascii="Arial" w:hAnsi="Arial"/>
        </w:rPr>
      </w:pPr>
      <w:bookmarkStart w:id="25" w:name="_Toc84520033"/>
      <w:r w:rsidRPr="00FC1E5A">
        <w:rPr>
          <w:rFonts w:ascii="Arial" w:hAnsi="Arial"/>
        </w:rPr>
        <w:t>Conclusions</w:t>
      </w:r>
      <w:r w:rsidR="005D72A0">
        <w:rPr>
          <w:rFonts w:ascii="Arial" w:hAnsi="Arial"/>
        </w:rPr>
        <w:t xml:space="preserve"> and recommendations</w:t>
      </w:r>
      <w:bookmarkEnd w:id="25"/>
    </w:p>
    <w:p w14:paraId="6D1B00D7" w14:textId="2C5CE096" w:rsidR="009D0296" w:rsidRDefault="00775BA2" w:rsidP="001274B2">
      <w:pPr>
        <w:rPr>
          <w:rFonts w:cs="Arial"/>
          <w:lang w:val="en-GB"/>
        </w:rPr>
      </w:pPr>
      <w:r>
        <w:rPr>
          <w:rFonts w:cs="Arial"/>
          <w:lang w:val="en-GB"/>
        </w:rPr>
        <w:t xml:space="preserve">In this study we applied a multidimensional methodology </w:t>
      </w:r>
      <w:r w:rsidR="00C01F32">
        <w:rPr>
          <w:rFonts w:cs="Arial"/>
          <w:lang w:val="en-GB"/>
        </w:rPr>
        <w:t>to assess the ‘Paris alignment’ of Atradius DSB</w:t>
      </w:r>
      <w:r w:rsidR="00D21D61">
        <w:rPr>
          <w:rFonts w:cs="Arial"/>
          <w:lang w:val="en-GB"/>
        </w:rPr>
        <w:t xml:space="preserve"> (mainly focused on the Dutch export credit facility)</w:t>
      </w:r>
      <w:r w:rsidR="00C01F32">
        <w:rPr>
          <w:rFonts w:cs="Arial"/>
          <w:lang w:val="en-GB"/>
        </w:rPr>
        <w:t xml:space="preserve">, the ECA operating on behalf of the Dutch State. </w:t>
      </w:r>
      <w:r w:rsidR="004D1199">
        <w:rPr>
          <w:rFonts w:cs="Arial"/>
          <w:lang w:val="en-GB"/>
        </w:rPr>
        <w:t xml:space="preserve">We found that while the Dutch ECA shows some progress to aligning its activities with the Paris Agreement, </w:t>
      </w:r>
      <w:r w:rsidR="00A12909">
        <w:rPr>
          <w:rFonts w:cs="Arial"/>
          <w:lang w:val="en-GB"/>
        </w:rPr>
        <w:t xml:space="preserve">in many dimensions more </w:t>
      </w:r>
      <w:r w:rsidR="009A4CFB">
        <w:rPr>
          <w:rFonts w:cs="Arial"/>
          <w:lang w:val="en-GB"/>
        </w:rPr>
        <w:t xml:space="preserve">ambitious and faster action </w:t>
      </w:r>
      <w:r w:rsidR="00A12909">
        <w:rPr>
          <w:rFonts w:cs="Arial"/>
          <w:lang w:val="en-GB"/>
        </w:rPr>
        <w:t xml:space="preserve">needs to be undertaken. </w:t>
      </w:r>
      <w:r w:rsidR="00A5579E">
        <w:rPr>
          <w:rFonts w:cs="Arial"/>
          <w:lang w:val="en-GB"/>
        </w:rPr>
        <w:t xml:space="preserve">Most laudable is the development of a fossil fuel measurement methodology </w:t>
      </w:r>
      <w:r w:rsidR="00671054">
        <w:rPr>
          <w:rFonts w:cs="Arial"/>
          <w:lang w:val="en-GB"/>
        </w:rPr>
        <w:t xml:space="preserve">through </w:t>
      </w:r>
      <w:r w:rsidR="00A5579E">
        <w:rPr>
          <w:rFonts w:cs="Arial"/>
          <w:lang w:val="en-GB"/>
        </w:rPr>
        <w:t>which</w:t>
      </w:r>
      <w:r w:rsidR="00671054">
        <w:rPr>
          <w:rFonts w:cs="Arial"/>
          <w:lang w:val="en-GB"/>
        </w:rPr>
        <w:t xml:space="preserve"> the</w:t>
      </w:r>
      <w:r w:rsidR="00A5579E">
        <w:rPr>
          <w:rFonts w:cs="Arial"/>
          <w:lang w:val="en-GB"/>
        </w:rPr>
        <w:t xml:space="preserve"> </w:t>
      </w:r>
      <w:r w:rsidR="007A0156">
        <w:rPr>
          <w:rFonts w:cs="Arial"/>
          <w:lang w:val="en-GB"/>
        </w:rPr>
        <w:t>share</w:t>
      </w:r>
      <w:r w:rsidR="00671054">
        <w:rPr>
          <w:rFonts w:cs="Arial"/>
          <w:lang w:val="en-GB"/>
        </w:rPr>
        <w:t xml:space="preserve"> of fossil fuels </w:t>
      </w:r>
      <w:r w:rsidR="007A0156">
        <w:rPr>
          <w:rFonts w:cs="Arial"/>
          <w:lang w:val="en-GB"/>
        </w:rPr>
        <w:t>over the entire portfolio</w:t>
      </w:r>
      <w:r w:rsidR="00D92442">
        <w:rPr>
          <w:rFonts w:cs="Arial"/>
          <w:lang w:val="en-GB"/>
        </w:rPr>
        <w:t xml:space="preserve"> is being disclosed</w:t>
      </w:r>
      <w:r w:rsidR="007A0156">
        <w:rPr>
          <w:rFonts w:cs="Arial"/>
          <w:lang w:val="en-GB"/>
        </w:rPr>
        <w:t xml:space="preserve">, in other words, all commitments outstanding for which the Dutch State currently assumes liability. </w:t>
      </w:r>
      <w:r w:rsidR="009F2C21">
        <w:rPr>
          <w:rFonts w:cs="Arial"/>
          <w:lang w:val="en-GB"/>
        </w:rPr>
        <w:t xml:space="preserve">This makes </w:t>
      </w:r>
      <w:r w:rsidR="0041529E">
        <w:rPr>
          <w:rFonts w:cs="Arial"/>
          <w:lang w:val="en-GB"/>
        </w:rPr>
        <w:t xml:space="preserve">the Dutch ECA comparatively </w:t>
      </w:r>
      <w:r w:rsidR="00EB3CC0">
        <w:rPr>
          <w:rFonts w:cs="Arial"/>
          <w:lang w:val="en-GB"/>
        </w:rPr>
        <w:t xml:space="preserve">advanced in terms of </w:t>
      </w:r>
      <w:r w:rsidR="0041529E">
        <w:rPr>
          <w:rFonts w:cs="Arial"/>
          <w:lang w:val="en-GB"/>
        </w:rPr>
        <w:t>transparen</w:t>
      </w:r>
      <w:r w:rsidR="00EB3CC0">
        <w:rPr>
          <w:rFonts w:cs="Arial"/>
          <w:lang w:val="en-GB"/>
        </w:rPr>
        <w:t xml:space="preserve">cy and indications of </w:t>
      </w:r>
      <w:r w:rsidR="0041529E">
        <w:rPr>
          <w:rFonts w:cs="Arial"/>
          <w:lang w:val="en-GB"/>
        </w:rPr>
        <w:t xml:space="preserve">the likely climate impact of its activities. </w:t>
      </w:r>
    </w:p>
    <w:p w14:paraId="3FFC1C96" w14:textId="2AE54813" w:rsidR="007E460D" w:rsidRDefault="0041529E" w:rsidP="001274B2">
      <w:pPr>
        <w:rPr>
          <w:rFonts w:cs="Arial"/>
          <w:lang w:val="en-GB"/>
        </w:rPr>
      </w:pPr>
      <w:r>
        <w:rPr>
          <w:rFonts w:cs="Arial"/>
          <w:lang w:val="en-GB"/>
        </w:rPr>
        <w:t xml:space="preserve">However, </w:t>
      </w:r>
      <w:r w:rsidR="00B04C1C">
        <w:rPr>
          <w:rFonts w:cs="Arial"/>
          <w:lang w:val="en-GB"/>
        </w:rPr>
        <w:t xml:space="preserve">transparency is </w:t>
      </w:r>
      <w:r w:rsidR="00BE773D">
        <w:rPr>
          <w:rFonts w:cs="Arial"/>
          <w:lang w:val="en-GB"/>
        </w:rPr>
        <w:t xml:space="preserve">no more than a </w:t>
      </w:r>
      <w:r w:rsidR="00B04C1C">
        <w:rPr>
          <w:rFonts w:cs="Arial"/>
          <w:lang w:val="en-GB"/>
        </w:rPr>
        <w:t>prerequisite for ambitious climate action</w:t>
      </w:r>
      <w:r w:rsidR="003143B4">
        <w:rPr>
          <w:rFonts w:cs="Arial"/>
          <w:lang w:val="en-GB"/>
        </w:rPr>
        <w:t xml:space="preserve"> and the carefully selected weights of the underlying methodology </w:t>
      </w:r>
      <w:r w:rsidR="0054314F">
        <w:rPr>
          <w:rFonts w:cs="Arial"/>
          <w:lang w:val="en-GB"/>
        </w:rPr>
        <w:t xml:space="preserve">clearly </w:t>
      </w:r>
      <w:r w:rsidR="003143B4">
        <w:rPr>
          <w:rFonts w:cs="Arial"/>
          <w:lang w:val="en-GB"/>
        </w:rPr>
        <w:t>reflect this</w:t>
      </w:r>
      <w:r w:rsidR="00B04C1C">
        <w:rPr>
          <w:rFonts w:cs="Arial"/>
          <w:lang w:val="en-GB"/>
        </w:rPr>
        <w:t xml:space="preserve">. We underline the importance of the insights into </w:t>
      </w:r>
      <w:r w:rsidR="002C5DFF">
        <w:rPr>
          <w:rFonts w:cs="Arial"/>
          <w:lang w:val="en-GB"/>
        </w:rPr>
        <w:t xml:space="preserve">the fossil share of </w:t>
      </w:r>
      <w:r w:rsidR="00595E0F">
        <w:rPr>
          <w:rFonts w:cs="Arial"/>
          <w:lang w:val="en-GB"/>
        </w:rPr>
        <w:t xml:space="preserve">Atradius DSB´s </w:t>
      </w:r>
      <w:r w:rsidR="00B04C1C">
        <w:rPr>
          <w:rFonts w:cs="Arial"/>
          <w:lang w:val="en-GB"/>
        </w:rPr>
        <w:t xml:space="preserve">portfolio as a wake-up call for </w:t>
      </w:r>
      <w:r w:rsidR="00972D90">
        <w:rPr>
          <w:rFonts w:cs="Arial"/>
          <w:lang w:val="en-GB"/>
        </w:rPr>
        <w:t xml:space="preserve">ambitious plans to phasing out support for all </w:t>
      </w:r>
      <w:r w:rsidR="00462533">
        <w:rPr>
          <w:rFonts w:cs="Arial"/>
          <w:lang w:val="en-GB"/>
        </w:rPr>
        <w:t>types of fossil fuels and related value chains</w:t>
      </w:r>
      <w:r w:rsidR="00826FA9">
        <w:rPr>
          <w:rFonts w:cs="Arial"/>
          <w:lang w:val="en-GB"/>
        </w:rPr>
        <w:t>. This can serve as a step</w:t>
      </w:r>
      <w:r w:rsidR="009A4CFB">
        <w:rPr>
          <w:rFonts w:cs="Arial"/>
          <w:lang w:val="en-GB"/>
        </w:rPr>
        <w:t xml:space="preserve">ping </w:t>
      </w:r>
      <w:r w:rsidR="00826FA9">
        <w:rPr>
          <w:rFonts w:cs="Arial"/>
          <w:lang w:val="en-GB"/>
        </w:rPr>
        <w:t>stone for aligning officially supported Dutch export finance with the Paris Agreement</w:t>
      </w:r>
      <w:r w:rsidR="00462533">
        <w:rPr>
          <w:rFonts w:cs="Arial"/>
          <w:lang w:val="en-GB"/>
        </w:rPr>
        <w:t>.</w:t>
      </w:r>
      <w:r w:rsidR="00B04C1C">
        <w:rPr>
          <w:rFonts w:cs="Arial"/>
          <w:lang w:val="en-GB"/>
        </w:rPr>
        <w:t xml:space="preserve"> </w:t>
      </w:r>
      <w:r w:rsidR="00DF46BC">
        <w:rPr>
          <w:rFonts w:cs="Arial"/>
          <w:lang w:val="en-GB"/>
        </w:rPr>
        <w:t>The Dutch government already shows strong presence in international fora and proposed tangible options for its own ECA as well as other like</w:t>
      </w:r>
      <w:r w:rsidR="009D0296">
        <w:rPr>
          <w:rFonts w:cs="Arial"/>
          <w:lang w:val="en-GB"/>
        </w:rPr>
        <w:t>-</w:t>
      </w:r>
      <w:r w:rsidR="00DF46BC">
        <w:rPr>
          <w:rFonts w:cs="Arial"/>
          <w:lang w:val="en-GB"/>
        </w:rPr>
        <w:t xml:space="preserve">minded ECAs and governments to advance the transformation of their export finance systems. </w:t>
      </w:r>
      <w:r w:rsidR="00B762F0">
        <w:rPr>
          <w:rFonts w:cs="Arial"/>
          <w:lang w:val="en-GB"/>
        </w:rPr>
        <w:t>T</w:t>
      </w:r>
      <w:r w:rsidR="00AD3834">
        <w:rPr>
          <w:rFonts w:cs="Arial"/>
          <w:lang w:val="en-GB"/>
        </w:rPr>
        <w:t xml:space="preserve">he </w:t>
      </w:r>
      <w:r w:rsidR="00D4284A">
        <w:rPr>
          <w:rFonts w:cs="Arial"/>
          <w:lang w:val="en-GB"/>
        </w:rPr>
        <w:t>prospective</w:t>
      </w:r>
      <w:r w:rsidR="00AD3834">
        <w:rPr>
          <w:rFonts w:cs="Arial"/>
          <w:lang w:val="en-GB"/>
        </w:rPr>
        <w:t xml:space="preserve"> government should now </w:t>
      </w:r>
      <w:r w:rsidR="00B762F0">
        <w:rPr>
          <w:rFonts w:cs="Arial"/>
          <w:lang w:val="en-GB"/>
        </w:rPr>
        <w:t xml:space="preserve">build </w:t>
      </w:r>
      <w:r w:rsidR="00AD3834">
        <w:rPr>
          <w:rFonts w:cs="Arial"/>
          <w:lang w:val="en-GB"/>
        </w:rPr>
        <w:t>on</w:t>
      </w:r>
      <w:r w:rsidR="00B762F0">
        <w:rPr>
          <w:rFonts w:cs="Arial"/>
          <w:lang w:val="en-GB"/>
        </w:rPr>
        <w:t xml:space="preserve"> these important first steps and undertake the climate action necessary to align its </w:t>
      </w:r>
      <w:r w:rsidR="003D5D3E">
        <w:rPr>
          <w:rFonts w:cs="Arial"/>
          <w:lang w:val="en-GB"/>
        </w:rPr>
        <w:t xml:space="preserve">export system with the Paris </w:t>
      </w:r>
      <w:r w:rsidR="00F2146A">
        <w:rPr>
          <w:rFonts w:cs="Arial"/>
          <w:lang w:val="en-GB"/>
        </w:rPr>
        <w:t>Agreement.</w:t>
      </w:r>
      <w:r w:rsidR="005A615F">
        <w:rPr>
          <w:rFonts w:cs="Arial"/>
          <w:lang w:val="en-GB"/>
        </w:rPr>
        <w:t xml:space="preserve"> </w:t>
      </w:r>
      <w:r w:rsidR="005A615F">
        <w:t>Only then the Netherlands can drive truly transformational progress at the international level.</w:t>
      </w:r>
      <w:r w:rsidR="00F2146A">
        <w:rPr>
          <w:rFonts w:cs="Arial"/>
          <w:lang w:val="en-GB"/>
        </w:rPr>
        <w:t xml:space="preserve"> </w:t>
      </w:r>
    </w:p>
    <w:p w14:paraId="45E17EAF" w14:textId="17176F29" w:rsidR="008D2728" w:rsidRDefault="00BF3AD9" w:rsidP="001274B2">
      <w:pPr>
        <w:rPr>
          <w:rFonts w:cs="Arial"/>
          <w:lang w:val="en-GB"/>
        </w:rPr>
      </w:pPr>
      <w:r>
        <w:rPr>
          <w:rFonts w:cs="Arial"/>
          <w:lang w:val="en-GB"/>
        </w:rPr>
        <w:t xml:space="preserve">In view of several options laid out in the short study accompanying State Secretary´s Vijlbrief´s pledge of aligning officially supported Dutch export finance with the Paris Agreement (Ministry of Finance (2021a, b), </w:t>
      </w:r>
      <w:r w:rsidRPr="00FC1E5A">
        <w:rPr>
          <w:rFonts w:cs="Arial"/>
          <w:lang w:val="en-GB"/>
        </w:rPr>
        <w:t xml:space="preserve">we recommend the </w:t>
      </w:r>
      <w:r>
        <w:rPr>
          <w:rFonts w:cs="Arial"/>
          <w:lang w:val="en-GB"/>
        </w:rPr>
        <w:t xml:space="preserve">Dutch </w:t>
      </w:r>
      <w:r w:rsidRPr="00FC1E5A">
        <w:rPr>
          <w:rFonts w:cs="Arial"/>
          <w:lang w:val="en-GB"/>
        </w:rPr>
        <w:t xml:space="preserve">government and </w:t>
      </w:r>
      <w:r>
        <w:rPr>
          <w:rFonts w:cs="Arial"/>
          <w:lang w:val="en-GB"/>
        </w:rPr>
        <w:t xml:space="preserve">Atradius DSB to establish and formalize a concrete roadmap to phase out </w:t>
      </w:r>
      <w:r w:rsidR="006015DE">
        <w:rPr>
          <w:rFonts w:cs="Arial"/>
          <w:lang w:val="en-GB"/>
        </w:rPr>
        <w:t xml:space="preserve">support for </w:t>
      </w:r>
      <w:r>
        <w:rPr>
          <w:rFonts w:cs="Arial"/>
          <w:lang w:val="en-GB"/>
        </w:rPr>
        <w:t xml:space="preserve">fossil fuel value chains </w:t>
      </w:r>
      <w:r w:rsidR="001064BE">
        <w:rPr>
          <w:rFonts w:cs="Arial"/>
          <w:lang w:val="en-GB"/>
        </w:rPr>
        <w:t xml:space="preserve">immediately and </w:t>
      </w:r>
      <w:r w:rsidR="009D0296">
        <w:rPr>
          <w:rFonts w:cs="Arial"/>
          <w:lang w:val="en-GB"/>
        </w:rPr>
        <w:t xml:space="preserve">without </w:t>
      </w:r>
      <w:r>
        <w:rPr>
          <w:rFonts w:cs="Arial"/>
          <w:lang w:val="en-GB"/>
        </w:rPr>
        <w:t>differentiat</w:t>
      </w:r>
      <w:r w:rsidR="009D0296">
        <w:rPr>
          <w:rFonts w:cs="Arial"/>
          <w:lang w:val="en-GB"/>
        </w:rPr>
        <w:t>ing</w:t>
      </w:r>
      <w:r>
        <w:rPr>
          <w:rFonts w:cs="Arial"/>
          <w:lang w:val="en-GB"/>
        </w:rPr>
        <w:t xml:space="preserve"> between the type</w:t>
      </w:r>
      <w:r w:rsidR="009D0296">
        <w:rPr>
          <w:rFonts w:cs="Arial"/>
          <w:lang w:val="en-GB"/>
        </w:rPr>
        <w:t>s</w:t>
      </w:r>
      <w:r>
        <w:rPr>
          <w:rFonts w:cs="Arial"/>
          <w:lang w:val="en-GB"/>
        </w:rPr>
        <w:t xml:space="preserve"> of fossil fuel</w:t>
      </w:r>
      <w:r w:rsidR="009D0296">
        <w:rPr>
          <w:rFonts w:cs="Arial"/>
          <w:lang w:val="en-GB"/>
        </w:rPr>
        <w:t>s</w:t>
      </w:r>
      <w:r w:rsidR="00A37A13">
        <w:rPr>
          <w:rFonts w:cs="Arial"/>
          <w:lang w:val="en-GB"/>
        </w:rPr>
        <w:t>.</w:t>
      </w:r>
      <w:r w:rsidR="009D0296">
        <w:rPr>
          <w:rFonts w:cs="Arial"/>
          <w:lang w:val="en-GB"/>
        </w:rPr>
        <w:t xml:space="preserve"> </w:t>
      </w:r>
      <w:r w:rsidR="00A37A13">
        <w:rPr>
          <w:rFonts w:cs="Arial"/>
          <w:lang w:val="en-GB"/>
        </w:rPr>
        <w:t xml:space="preserve">Moreover, </w:t>
      </w:r>
      <w:r>
        <w:rPr>
          <w:rFonts w:cs="Arial"/>
          <w:lang w:val="en-GB"/>
        </w:rPr>
        <w:t>a non-differentiation of scope</w:t>
      </w:r>
      <w:r w:rsidR="00663A78">
        <w:rPr>
          <w:rFonts w:cs="Arial"/>
          <w:lang w:val="en-GB"/>
        </w:rPr>
        <w:t xml:space="preserve"> should be warranted</w:t>
      </w:r>
      <w:r w:rsidR="009D0296">
        <w:rPr>
          <w:rFonts w:cs="Arial"/>
          <w:lang w:val="en-GB"/>
        </w:rPr>
        <w:t>, i.e.</w:t>
      </w:r>
      <w:r w:rsidR="00094AF5">
        <w:rPr>
          <w:rFonts w:cs="Arial"/>
          <w:lang w:val="en-GB"/>
        </w:rPr>
        <w:t>,</w:t>
      </w:r>
      <w:r w:rsidR="00C65979">
        <w:rPr>
          <w:rFonts w:cs="Arial"/>
          <w:lang w:val="en-GB"/>
        </w:rPr>
        <w:t xml:space="preserve"> this policy</w:t>
      </w:r>
      <w:r w:rsidR="00274584">
        <w:rPr>
          <w:rFonts w:cs="Arial"/>
          <w:lang w:val="en-GB"/>
        </w:rPr>
        <w:t xml:space="preserve"> needs</w:t>
      </w:r>
      <w:r w:rsidR="009D0296">
        <w:rPr>
          <w:rFonts w:cs="Arial"/>
          <w:lang w:val="en-GB"/>
        </w:rPr>
        <w:t xml:space="preserve"> to </w:t>
      </w:r>
      <w:r>
        <w:rPr>
          <w:rFonts w:cs="Arial"/>
          <w:lang w:val="en-GB"/>
        </w:rPr>
        <w:t>include all phases of the fossil fuel value chain into the commitment, including mid- and downstream</w:t>
      </w:r>
      <w:r w:rsidR="009D0296">
        <w:rPr>
          <w:rFonts w:cs="Arial"/>
          <w:lang w:val="en-GB"/>
        </w:rPr>
        <w:t>.</w:t>
      </w:r>
      <w:r>
        <w:rPr>
          <w:rFonts w:cs="Arial"/>
          <w:lang w:val="en-GB"/>
        </w:rPr>
        <w:t xml:space="preserve"> </w:t>
      </w:r>
      <w:r w:rsidR="00D21D61">
        <w:rPr>
          <w:rFonts w:cs="Arial"/>
          <w:lang w:val="en-GB"/>
        </w:rPr>
        <w:t>This would also be required to</w:t>
      </w:r>
      <w:r w:rsidR="00D21D61" w:rsidRPr="00D21D61">
        <w:rPr>
          <w:rFonts w:cs="Arial"/>
          <w:lang w:val="en-GB"/>
        </w:rPr>
        <w:t xml:space="preserve"> meet customary law, climate law and human rights law obligations </w:t>
      </w:r>
      <w:r w:rsidR="00D21D61">
        <w:rPr>
          <w:rFonts w:cs="Arial"/>
          <w:lang w:val="en-GB"/>
        </w:rPr>
        <w:t>(</w:t>
      </w:r>
      <w:r w:rsidR="00D21D61" w:rsidRPr="00D41D73">
        <w:rPr>
          <w:rFonts w:cs="Arial"/>
          <w:lang w:val="en-GB"/>
        </w:rPr>
        <w:t>Cook</w:t>
      </w:r>
      <w:r w:rsidR="00D21D61">
        <w:rPr>
          <w:rFonts w:cs="Arial"/>
          <w:lang w:val="en-GB"/>
        </w:rPr>
        <w:t xml:space="preserve"> and</w:t>
      </w:r>
      <w:r w:rsidR="00D21D61" w:rsidRPr="00D41D73">
        <w:rPr>
          <w:rFonts w:cs="Arial"/>
          <w:lang w:val="en-GB"/>
        </w:rPr>
        <w:t xml:space="preserve"> Viñuales</w:t>
      </w:r>
      <w:r w:rsidR="00D21D61">
        <w:rPr>
          <w:rFonts w:cs="Arial"/>
          <w:lang w:val="en-GB"/>
        </w:rPr>
        <w:t xml:space="preserve"> 2021)</w:t>
      </w:r>
      <w:r w:rsidR="00D21D61" w:rsidRPr="00D21D61">
        <w:rPr>
          <w:rFonts w:cs="Arial"/>
          <w:lang w:val="en-GB"/>
        </w:rPr>
        <w:t>.</w:t>
      </w:r>
      <w:r w:rsidR="00D21D61">
        <w:rPr>
          <w:rFonts w:cs="Arial"/>
          <w:lang w:val="en-GB"/>
        </w:rPr>
        <w:t xml:space="preserve"> </w:t>
      </w:r>
      <w:r>
        <w:rPr>
          <w:rFonts w:cs="Arial"/>
          <w:lang w:val="en-GB"/>
        </w:rPr>
        <w:t xml:space="preserve">Lastly, we recommend to both disseminate </w:t>
      </w:r>
      <w:r>
        <w:rPr>
          <w:rFonts w:cs="Arial"/>
          <w:lang w:val="en-GB"/>
        </w:rPr>
        <w:lastRenderedPageBreak/>
        <w:t>and follow best practices in the export finance system</w:t>
      </w:r>
      <w:r w:rsidR="009D0296">
        <w:rPr>
          <w:rFonts w:cs="Arial"/>
          <w:lang w:val="en-GB"/>
        </w:rPr>
        <w:t xml:space="preserve"> mentioned in this study</w:t>
      </w:r>
      <w:r>
        <w:rPr>
          <w:rFonts w:cs="Arial"/>
          <w:lang w:val="en-GB"/>
        </w:rPr>
        <w:t xml:space="preserve"> and </w:t>
      </w:r>
      <w:r w:rsidR="009D0296">
        <w:rPr>
          <w:rFonts w:cs="Arial"/>
          <w:lang w:val="en-GB"/>
        </w:rPr>
        <w:t xml:space="preserve">to regularly </w:t>
      </w:r>
      <w:r>
        <w:rPr>
          <w:rFonts w:cs="Arial"/>
          <w:lang w:val="en-GB"/>
        </w:rPr>
        <w:t>update policies as scientific evidence evolves.</w:t>
      </w:r>
      <w:r w:rsidR="00912341">
        <w:rPr>
          <w:rFonts w:cs="Arial"/>
          <w:lang w:val="en-GB"/>
        </w:rPr>
        <w:t xml:space="preserve"> Notably, this refers to the leading example of the United Kingdom </w:t>
      </w:r>
      <w:r w:rsidR="00D63462">
        <w:rPr>
          <w:rFonts w:cs="Arial"/>
          <w:lang w:val="en-GB"/>
        </w:rPr>
        <w:t xml:space="preserve">and its ECA UKEF </w:t>
      </w:r>
      <w:r w:rsidR="00912341">
        <w:rPr>
          <w:rFonts w:cs="Arial"/>
          <w:lang w:val="en-GB"/>
        </w:rPr>
        <w:t>which have since earlier this year phased out support for all types of fossil fuels</w:t>
      </w:r>
      <w:r w:rsidR="00D63462">
        <w:rPr>
          <w:rFonts w:cs="Arial"/>
          <w:lang w:val="en-GB"/>
        </w:rPr>
        <w:t>.</w:t>
      </w:r>
    </w:p>
    <w:p w14:paraId="76C5D165" w14:textId="77777777" w:rsidR="00834AB2" w:rsidRDefault="00BD6138" w:rsidP="001274B2">
      <w:pPr>
        <w:rPr>
          <w:rFonts w:cs="Arial"/>
          <w:lang w:val="en-GB"/>
        </w:rPr>
      </w:pPr>
      <w:r>
        <w:rPr>
          <w:rFonts w:cs="Arial"/>
          <w:lang w:val="en-GB"/>
        </w:rPr>
        <w:t xml:space="preserve">All specific recommendations </w:t>
      </w:r>
      <w:r w:rsidR="000161C4">
        <w:rPr>
          <w:rFonts w:cs="Arial"/>
          <w:lang w:val="en-GB"/>
        </w:rPr>
        <w:t>per</w:t>
      </w:r>
      <w:r>
        <w:rPr>
          <w:rFonts w:cs="Arial"/>
          <w:lang w:val="en-GB"/>
        </w:rPr>
        <w:t xml:space="preserve"> assessment dimension are summarized in </w:t>
      </w:r>
      <w:r>
        <w:rPr>
          <w:rFonts w:cs="Arial"/>
          <w:lang w:val="en-GB"/>
        </w:rPr>
        <w:fldChar w:fldCharType="begin"/>
      </w:r>
      <w:r>
        <w:rPr>
          <w:rFonts w:cs="Arial"/>
          <w:lang w:val="en-GB"/>
        </w:rPr>
        <w:instrText xml:space="preserve"> REF _Ref82176874 \h </w:instrText>
      </w:r>
      <w:r>
        <w:rPr>
          <w:rFonts w:cs="Arial"/>
          <w:lang w:val="en-GB"/>
        </w:rPr>
      </w:r>
      <w:r>
        <w:rPr>
          <w:rFonts w:cs="Arial"/>
          <w:lang w:val="en-GB"/>
        </w:rPr>
        <w:fldChar w:fldCharType="separate"/>
      </w:r>
      <w:r>
        <w:t xml:space="preserve">Table </w:t>
      </w:r>
      <w:r>
        <w:rPr>
          <w:noProof/>
        </w:rPr>
        <w:t>2</w:t>
      </w:r>
      <w:r>
        <w:rPr>
          <w:rFonts w:cs="Arial"/>
          <w:lang w:val="en-GB"/>
        </w:rPr>
        <w:fldChar w:fldCharType="end"/>
      </w:r>
      <w:r>
        <w:rPr>
          <w:rFonts w:cs="Arial"/>
          <w:lang w:val="en-GB"/>
        </w:rPr>
        <w:t xml:space="preserve">. </w:t>
      </w:r>
    </w:p>
    <w:p w14:paraId="1DFEF705" w14:textId="77777777" w:rsidR="00D00941" w:rsidRPr="00EC285E" w:rsidRDefault="00D00941" w:rsidP="00070A29">
      <w:pPr>
        <w:pStyle w:val="Beschriftung"/>
        <w:spacing w:after="0"/>
        <w:rPr>
          <w:sz w:val="20"/>
          <w:szCs w:val="20"/>
        </w:rPr>
      </w:pPr>
      <w:bookmarkStart w:id="26" w:name="_Ref82176874"/>
      <w:r w:rsidRPr="00EC285E">
        <w:rPr>
          <w:sz w:val="20"/>
          <w:szCs w:val="20"/>
        </w:rPr>
        <w:t xml:space="preserve">Table </w:t>
      </w:r>
      <w:r w:rsidRPr="00EC285E">
        <w:rPr>
          <w:sz w:val="20"/>
          <w:szCs w:val="20"/>
        </w:rPr>
        <w:fldChar w:fldCharType="begin"/>
      </w:r>
      <w:r w:rsidRPr="00EC285E">
        <w:rPr>
          <w:sz w:val="20"/>
          <w:szCs w:val="20"/>
        </w:rPr>
        <w:instrText xml:space="preserve"> SEQ Table \* ARABIC </w:instrText>
      </w:r>
      <w:r w:rsidRPr="00EC285E">
        <w:rPr>
          <w:sz w:val="20"/>
          <w:szCs w:val="20"/>
        </w:rPr>
        <w:fldChar w:fldCharType="separate"/>
      </w:r>
      <w:r w:rsidRPr="00EC285E">
        <w:rPr>
          <w:noProof/>
          <w:sz w:val="20"/>
          <w:szCs w:val="20"/>
        </w:rPr>
        <w:t>2</w:t>
      </w:r>
      <w:r w:rsidRPr="00EC285E">
        <w:rPr>
          <w:sz w:val="20"/>
          <w:szCs w:val="20"/>
        </w:rPr>
        <w:fldChar w:fldCharType="end"/>
      </w:r>
      <w:bookmarkEnd w:id="26"/>
      <w:r w:rsidRPr="00EC285E">
        <w:rPr>
          <w:sz w:val="20"/>
          <w:szCs w:val="20"/>
        </w:rPr>
        <w:t xml:space="preserve">: </w:t>
      </w:r>
      <w:r w:rsidR="00D63D0C" w:rsidRPr="00EC285E">
        <w:rPr>
          <w:sz w:val="20"/>
          <w:szCs w:val="20"/>
        </w:rPr>
        <w:t xml:space="preserve">Summary of key </w:t>
      </w:r>
      <w:r w:rsidRPr="00EC285E">
        <w:rPr>
          <w:sz w:val="20"/>
          <w:szCs w:val="20"/>
        </w:rPr>
        <w:t xml:space="preserve">recommendations </w:t>
      </w:r>
      <w:r w:rsidR="00D63D0C" w:rsidRPr="00EC285E">
        <w:rPr>
          <w:sz w:val="20"/>
          <w:szCs w:val="20"/>
        </w:rPr>
        <w:t>per assessment dimension</w:t>
      </w:r>
    </w:p>
    <w:tbl>
      <w:tblPr>
        <w:tblStyle w:val="Tabellenraster"/>
        <w:tblW w:w="9122" w:type="dxa"/>
        <w:tblLayout w:type="fixed"/>
        <w:tblLook w:val="04A0" w:firstRow="1" w:lastRow="0" w:firstColumn="1" w:lastColumn="0" w:noHBand="0" w:noVBand="1"/>
      </w:tblPr>
      <w:tblGrid>
        <w:gridCol w:w="1980"/>
        <w:gridCol w:w="7142"/>
      </w:tblGrid>
      <w:tr w:rsidR="006C5574" w:rsidRPr="00796A26" w14:paraId="0360A4D9" w14:textId="77777777" w:rsidTr="00EC285E">
        <w:trPr>
          <w:trHeight w:val="389"/>
          <w:tblHeader/>
        </w:trPr>
        <w:tc>
          <w:tcPr>
            <w:tcW w:w="9122" w:type="dxa"/>
            <w:gridSpan w:val="2"/>
            <w:shd w:val="clear" w:color="auto" w:fill="1F497D" w:themeFill="text2"/>
          </w:tcPr>
          <w:p w14:paraId="595740E0" w14:textId="77777777" w:rsidR="006C5574" w:rsidRPr="00EC285E" w:rsidRDefault="006C5574" w:rsidP="00070A29">
            <w:pPr>
              <w:widowControl w:val="0"/>
              <w:spacing w:after="0" w:line="276" w:lineRule="auto"/>
              <w:rPr>
                <w:rFonts w:cs="Arial"/>
                <w:b/>
                <w:bCs/>
                <w:color w:val="FFFFFF" w:themeColor="background1"/>
                <w:lang w:val="en-GB"/>
              </w:rPr>
            </w:pPr>
            <w:r w:rsidRPr="00EC285E">
              <w:rPr>
                <w:rFonts w:cs="Arial"/>
                <w:b/>
                <w:bCs/>
                <w:color w:val="FFFFFF" w:themeColor="background1"/>
                <w:lang w:val="en-GB"/>
              </w:rPr>
              <w:t xml:space="preserve">Key recommendations for the ‘Paris alignment’ of officially supported Dutch export finance </w:t>
            </w:r>
          </w:p>
        </w:tc>
      </w:tr>
      <w:tr w:rsidR="006C5574" w:rsidRPr="00796A26" w14:paraId="750FA37C" w14:textId="77777777" w:rsidTr="00EC285E">
        <w:trPr>
          <w:trHeight w:val="20"/>
        </w:trPr>
        <w:tc>
          <w:tcPr>
            <w:tcW w:w="1980" w:type="dxa"/>
          </w:tcPr>
          <w:p w14:paraId="2DA0D9A5" w14:textId="77777777" w:rsidR="006C5574" w:rsidRPr="00EC285E" w:rsidRDefault="00022ABD" w:rsidP="00070A29">
            <w:pPr>
              <w:widowControl w:val="0"/>
              <w:spacing w:after="0" w:line="276" w:lineRule="auto"/>
              <w:jc w:val="left"/>
              <w:rPr>
                <w:rFonts w:cs="Arial"/>
                <w:lang w:val="en-GB"/>
              </w:rPr>
            </w:pPr>
            <w:r w:rsidRPr="00EC285E">
              <w:rPr>
                <w:rFonts w:cs="Arial"/>
                <w:lang w:val="en-GB"/>
              </w:rPr>
              <w:t>Financial and non-financial disclosure and transparency (</w:t>
            </w:r>
            <w:r w:rsidRPr="00EC285E">
              <w:rPr>
                <w:rFonts w:cs="Arial"/>
                <w:b/>
                <w:i/>
                <w:lang w:val="en-GB"/>
              </w:rPr>
              <w:t>Dimension 1</w:t>
            </w:r>
            <w:r w:rsidRPr="00EC285E">
              <w:rPr>
                <w:rFonts w:cs="Arial"/>
                <w:lang w:val="en-GB"/>
              </w:rPr>
              <w:t>)</w:t>
            </w:r>
          </w:p>
        </w:tc>
        <w:tc>
          <w:tcPr>
            <w:tcW w:w="7142" w:type="dxa"/>
          </w:tcPr>
          <w:p w14:paraId="0ECA6D5B" w14:textId="77777777" w:rsidR="006C5574" w:rsidRPr="00EC285E" w:rsidRDefault="004A10D5" w:rsidP="00070A29">
            <w:pPr>
              <w:pStyle w:val="Listenabsatz"/>
              <w:widowControl w:val="0"/>
              <w:numPr>
                <w:ilvl w:val="0"/>
                <w:numId w:val="38"/>
              </w:numPr>
              <w:spacing w:after="0" w:line="276" w:lineRule="auto"/>
              <w:jc w:val="left"/>
              <w:rPr>
                <w:rFonts w:cs="Arial"/>
                <w:lang w:val="en-GB"/>
              </w:rPr>
            </w:pPr>
            <w:r w:rsidRPr="00EC285E">
              <w:rPr>
                <w:rFonts w:cs="Arial"/>
                <w:lang w:val="en-GB"/>
              </w:rPr>
              <w:t xml:space="preserve">Pursue pioneering efforts to measuring and attributing GHG emissions linked to the export of </w:t>
            </w:r>
            <w:r w:rsidR="00762476" w:rsidRPr="00EC285E">
              <w:rPr>
                <w:rFonts w:cs="Arial"/>
                <w:lang w:val="en-GB"/>
              </w:rPr>
              <w:t xml:space="preserve">officially supported </w:t>
            </w:r>
            <w:r w:rsidRPr="00EC285E">
              <w:rPr>
                <w:rFonts w:cs="Arial"/>
                <w:lang w:val="en-GB"/>
              </w:rPr>
              <w:t>Dutch goods or services</w:t>
            </w:r>
            <w:r w:rsidR="000E2574">
              <w:rPr>
                <w:rFonts w:cs="Arial"/>
                <w:lang w:val="en-GB"/>
              </w:rPr>
              <w:t>.</w:t>
            </w:r>
          </w:p>
          <w:p w14:paraId="06D1EA71" w14:textId="77777777" w:rsidR="00D41144" w:rsidRPr="00EC285E" w:rsidRDefault="00822A07" w:rsidP="00070A29">
            <w:pPr>
              <w:pStyle w:val="Listenabsatz"/>
              <w:widowControl w:val="0"/>
              <w:numPr>
                <w:ilvl w:val="0"/>
                <w:numId w:val="38"/>
              </w:numPr>
              <w:spacing w:after="0" w:line="276" w:lineRule="auto"/>
              <w:jc w:val="left"/>
              <w:rPr>
                <w:rFonts w:cs="Arial"/>
                <w:lang w:val="en-GB"/>
              </w:rPr>
            </w:pPr>
            <w:r w:rsidRPr="00EC285E">
              <w:rPr>
                <w:rFonts w:cs="Arial"/>
                <w:lang w:val="en-GB"/>
              </w:rPr>
              <w:t xml:space="preserve">Provide the possibility </w:t>
            </w:r>
            <w:r w:rsidR="008B3B3C" w:rsidRPr="00EC285E">
              <w:rPr>
                <w:rFonts w:cs="Arial"/>
                <w:lang w:val="en-GB"/>
              </w:rPr>
              <w:t xml:space="preserve">for the general public </w:t>
            </w:r>
            <w:r w:rsidRPr="00EC285E">
              <w:rPr>
                <w:rFonts w:cs="Arial"/>
                <w:lang w:val="en-GB"/>
              </w:rPr>
              <w:t xml:space="preserve">to verify </w:t>
            </w:r>
            <w:r w:rsidR="008B3B3C" w:rsidRPr="00EC285E">
              <w:rPr>
                <w:rFonts w:cs="Arial"/>
                <w:lang w:val="en-GB"/>
              </w:rPr>
              <w:t xml:space="preserve">the ‘fossil’ classification for </w:t>
            </w:r>
            <w:r w:rsidRPr="00EC285E">
              <w:rPr>
                <w:rFonts w:cs="Arial"/>
                <w:lang w:val="en-GB"/>
              </w:rPr>
              <w:t xml:space="preserve">all commitments outstanding </w:t>
            </w:r>
            <w:r w:rsidR="008B3B3C" w:rsidRPr="00EC285E">
              <w:rPr>
                <w:rFonts w:cs="Arial"/>
                <w:lang w:val="en-GB"/>
              </w:rPr>
              <w:t>on a granular project-to-project basis</w:t>
            </w:r>
            <w:r w:rsidR="000E2574">
              <w:rPr>
                <w:rFonts w:cs="Arial"/>
                <w:lang w:val="en-GB"/>
              </w:rPr>
              <w:t>.</w:t>
            </w:r>
          </w:p>
          <w:p w14:paraId="3E1BB53C" w14:textId="47ADA4A8" w:rsidR="00574C90" w:rsidRPr="00EC285E" w:rsidRDefault="00D26DAE" w:rsidP="00070A29">
            <w:pPr>
              <w:pStyle w:val="Listenabsatz"/>
              <w:widowControl w:val="0"/>
              <w:numPr>
                <w:ilvl w:val="0"/>
                <w:numId w:val="38"/>
              </w:numPr>
              <w:spacing w:after="0" w:line="276" w:lineRule="auto"/>
              <w:jc w:val="left"/>
              <w:rPr>
                <w:rFonts w:cs="Arial"/>
                <w:lang w:val="en-GB"/>
              </w:rPr>
            </w:pPr>
            <w:r w:rsidRPr="00EC285E">
              <w:rPr>
                <w:rFonts w:cs="Arial"/>
                <w:lang w:val="en-GB"/>
              </w:rPr>
              <w:t>Fully align the list of ‘green’ activities with the EU taxonomy on Sustainable Financ</w:t>
            </w:r>
            <w:r w:rsidR="00F2146A">
              <w:rPr>
                <w:rFonts w:cs="Arial"/>
                <w:lang w:val="en-GB"/>
              </w:rPr>
              <w:t>e</w:t>
            </w:r>
            <w:r w:rsidR="00A82B76">
              <w:rPr>
                <w:rFonts w:cs="Arial"/>
                <w:lang w:val="en-GB"/>
              </w:rPr>
              <w:t xml:space="preserve"> and ensure overall alignment with latest climate science</w:t>
            </w:r>
            <w:r w:rsidR="005A615F">
              <w:rPr>
                <w:rFonts w:cs="Arial"/>
                <w:lang w:val="en-GB"/>
              </w:rPr>
              <w:t xml:space="preserve">, </w:t>
            </w:r>
            <w:r w:rsidR="00895661">
              <w:rPr>
                <w:rFonts w:cs="Arial"/>
                <w:lang w:val="en-GB"/>
              </w:rPr>
              <w:t>i.e.,</w:t>
            </w:r>
            <w:r w:rsidR="005A615F">
              <w:rPr>
                <w:rFonts w:cs="Arial"/>
                <w:lang w:val="en-GB"/>
              </w:rPr>
              <w:t xml:space="preserve"> not classifying coal-to-gas switch as ‘green’</w:t>
            </w:r>
            <w:r w:rsidR="000E2574">
              <w:rPr>
                <w:rFonts w:cs="Arial"/>
                <w:lang w:val="en-GB"/>
              </w:rPr>
              <w:t>.</w:t>
            </w:r>
          </w:p>
          <w:p w14:paraId="4804A3E0" w14:textId="77777777" w:rsidR="00D26DAE" w:rsidRPr="00FC68B8" w:rsidRDefault="007810B6" w:rsidP="00070A29">
            <w:pPr>
              <w:pStyle w:val="Listenabsatz"/>
              <w:widowControl w:val="0"/>
              <w:numPr>
                <w:ilvl w:val="0"/>
                <w:numId w:val="38"/>
              </w:numPr>
              <w:spacing w:after="0" w:line="276" w:lineRule="auto"/>
              <w:jc w:val="left"/>
              <w:rPr>
                <w:rFonts w:cs="Arial"/>
                <w:lang w:val="en-GB"/>
              </w:rPr>
            </w:pPr>
            <w:r w:rsidRPr="00EC285E">
              <w:rPr>
                <w:rFonts w:cs="Arial"/>
                <w:lang w:val="en-GB"/>
              </w:rPr>
              <w:t>Fully support and report according to the</w:t>
            </w:r>
            <w:r w:rsidR="00B618C2" w:rsidRPr="00EC285E">
              <w:rPr>
                <w:rFonts w:cs="Arial"/>
                <w:lang w:val="en-GB"/>
              </w:rPr>
              <w:t xml:space="preserve"> recommendations made by the</w:t>
            </w:r>
            <w:r w:rsidRPr="00EC285E">
              <w:rPr>
                <w:rFonts w:cs="Arial"/>
                <w:lang w:val="en-GB"/>
              </w:rPr>
              <w:t xml:space="preserve"> TCFD or, prospectively, the TCND</w:t>
            </w:r>
            <w:r w:rsidR="000E2574">
              <w:rPr>
                <w:rFonts w:cs="Arial"/>
                <w:lang w:val="en-GB"/>
              </w:rPr>
              <w:t>.</w:t>
            </w:r>
          </w:p>
        </w:tc>
      </w:tr>
      <w:tr w:rsidR="006C5574" w:rsidRPr="00796A26" w14:paraId="1F0779D1" w14:textId="77777777" w:rsidTr="00EC285E">
        <w:trPr>
          <w:trHeight w:val="20"/>
        </w:trPr>
        <w:tc>
          <w:tcPr>
            <w:tcW w:w="1980" w:type="dxa"/>
          </w:tcPr>
          <w:p w14:paraId="73FFC773" w14:textId="77777777" w:rsidR="006C5574" w:rsidRPr="00EC285E" w:rsidRDefault="00F02325" w:rsidP="009D0296">
            <w:pPr>
              <w:widowControl w:val="0"/>
              <w:spacing w:after="0" w:line="276" w:lineRule="auto"/>
              <w:jc w:val="left"/>
              <w:rPr>
                <w:rFonts w:cs="Arial"/>
                <w:lang w:val="en-GB"/>
              </w:rPr>
            </w:pPr>
            <w:r w:rsidRPr="00EC285E">
              <w:rPr>
                <w:rFonts w:cs="Arial"/>
                <w:lang w:val="en-GB"/>
              </w:rPr>
              <w:t>Ambition of fossil fuel exclusion or restriction policies (</w:t>
            </w:r>
            <w:r w:rsidRPr="00EC285E">
              <w:rPr>
                <w:rFonts w:cs="Arial"/>
                <w:b/>
                <w:i/>
                <w:lang w:val="en-GB"/>
              </w:rPr>
              <w:t>Dimension 2</w:t>
            </w:r>
            <w:r w:rsidRPr="00EC285E">
              <w:rPr>
                <w:rFonts w:cs="Arial"/>
                <w:lang w:val="en-GB"/>
              </w:rPr>
              <w:t>)</w:t>
            </w:r>
          </w:p>
        </w:tc>
        <w:tc>
          <w:tcPr>
            <w:tcW w:w="7142" w:type="dxa"/>
          </w:tcPr>
          <w:p w14:paraId="36938D46" w14:textId="77777777" w:rsidR="00107FA1" w:rsidRDefault="00107FA1" w:rsidP="00EC285E">
            <w:pPr>
              <w:pStyle w:val="Listenabsatz"/>
              <w:widowControl w:val="0"/>
              <w:numPr>
                <w:ilvl w:val="0"/>
                <w:numId w:val="39"/>
              </w:numPr>
              <w:spacing w:after="0" w:line="276" w:lineRule="auto"/>
              <w:jc w:val="left"/>
              <w:rPr>
                <w:rFonts w:cs="Arial"/>
                <w:lang w:val="en-GB"/>
              </w:rPr>
            </w:pPr>
            <w:r>
              <w:rPr>
                <w:rFonts w:cs="Arial"/>
                <w:lang w:val="en-GB"/>
              </w:rPr>
              <w:t xml:space="preserve">Immediately cease officially supported export finance for all </w:t>
            </w:r>
            <w:r w:rsidR="007454C1">
              <w:rPr>
                <w:rFonts w:cs="Arial"/>
                <w:lang w:val="en-GB"/>
              </w:rPr>
              <w:t>types of fossil fuels and related value chains</w:t>
            </w:r>
            <w:r>
              <w:rPr>
                <w:rFonts w:cs="Arial"/>
                <w:lang w:val="en-GB"/>
              </w:rPr>
              <w:t xml:space="preserve"> </w:t>
            </w:r>
          </w:p>
          <w:p w14:paraId="559F9211" w14:textId="69A5BF9C" w:rsidR="006C5574" w:rsidRPr="00EC285E" w:rsidRDefault="009A2C03" w:rsidP="00EC285E">
            <w:pPr>
              <w:pStyle w:val="Listenabsatz"/>
              <w:widowControl w:val="0"/>
              <w:numPr>
                <w:ilvl w:val="0"/>
                <w:numId w:val="39"/>
              </w:numPr>
              <w:spacing w:after="0" w:line="276" w:lineRule="auto"/>
              <w:jc w:val="left"/>
              <w:rPr>
                <w:rFonts w:cs="Arial"/>
                <w:lang w:val="en-GB"/>
              </w:rPr>
            </w:pPr>
            <w:r w:rsidRPr="00EC285E">
              <w:rPr>
                <w:rFonts w:cs="Arial"/>
                <w:lang w:val="en-GB"/>
              </w:rPr>
              <w:t xml:space="preserve">Formalize the Dutch coal exclusion policy </w:t>
            </w:r>
            <w:r w:rsidR="005A615F">
              <w:t>and ensure an immediate halt to any continuing and new support to coal or the coal-related value chain.</w:t>
            </w:r>
          </w:p>
          <w:p w14:paraId="65B375A2" w14:textId="77777777" w:rsidR="00547C59" w:rsidRPr="00EC285E" w:rsidRDefault="004171B5" w:rsidP="00EC285E">
            <w:pPr>
              <w:pStyle w:val="Listenabsatz"/>
              <w:widowControl w:val="0"/>
              <w:numPr>
                <w:ilvl w:val="0"/>
                <w:numId w:val="39"/>
              </w:numPr>
              <w:spacing w:after="0" w:line="276" w:lineRule="auto"/>
              <w:jc w:val="left"/>
              <w:rPr>
                <w:rFonts w:cs="Arial"/>
                <w:lang w:val="en-GB"/>
              </w:rPr>
            </w:pPr>
            <w:r>
              <w:rPr>
                <w:rFonts w:cs="Arial"/>
                <w:lang w:val="en-GB"/>
              </w:rPr>
              <w:t>F</w:t>
            </w:r>
            <w:r w:rsidR="006438E5" w:rsidRPr="00EC285E">
              <w:rPr>
                <w:rFonts w:cs="Arial"/>
                <w:lang w:val="en-GB"/>
              </w:rPr>
              <w:t>ormalize</w:t>
            </w:r>
            <w:r>
              <w:rPr>
                <w:rFonts w:cs="Arial"/>
                <w:lang w:val="en-GB"/>
              </w:rPr>
              <w:t xml:space="preserve"> and deepen</w:t>
            </w:r>
            <w:r w:rsidR="006438E5" w:rsidRPr="00EC285E">
              <w:rPr>
                <w:rFonts w:cs="Arial"/>
                <w:lang w:val="en-GB"/>
              </w:rPr>
              <w:t xml:space="preserve"> commitments for exclusions of oil-related value chains</w:t>
            </w:r>
            <w:r w:rsidR="0027285F">
              <w:rPr>
                <w:rFonts w:cs="Arial"/>
                <w:lang w:val="en-GB"/>
              </w:rPr>
              <w:t xml:space="preserve"> in line with </w:t>
            </w:r>
            <w:r w:rsidR="005E4669">
              <w:rPr>
                <w:rFonts w:cs="Arial"/>
                <w:lang w:val="en-GB"/>
              </w:rPr>
              <w:t>the above recommendations</w:t>
            </w:r>
            <w:r w:rsidR="000E2574">
              <w:rPr>
                <w:rFonts w:cs="Arial"/>
                <w:lang w:val="en-GB"/>
              </w:rPr>
              <w:t>.</w:t>
            </w:r>
          </w:p>
          <w:p w14:paraId="30B4B16D" w14:textId="77777777" w:rsidR="004B5AE9" w:rsidRPr="00FC68B8" w:rsidRDefault="00484BC8" w:rsidP="00EC285E">
            <w:pPr>
              <w:pStyle w:val="Listenabsatz"/>
              <w:widowControl w:val="0"/>
              <w:numPr>
                <w:ilvl w:val="0"/>
                <w:numId w:val="39"/>
              </w:numPr>
              <w:spacing w:after="0" w:line="276" w:lineRule="auto"/>
              <w:jc w:val="left"/>
              <w:rPr>
                <w:rFonts w:cs="Arial"/>
                <w:lang w:val="en-GB"/>
              </w:rPr>
            </w:pPr>
            <w:r>
              <w:rPr>
                <w:rFonts w:cs="Arial"/>
                <w:lang w:val="en-GB"/>
              </w:rPr>
              <w:t>Formalize the p</w:t>
            </w:r>
            <w:r w:rsidR="004B5AE9" w:rsidRPr="00EC285E">
              <w:rPr>
                <w:rFonts w:cs="Arial"/>
                <w:lang w:val="en-GB"/>
              </w:rPr>
              <w:t>hase</w:t>
            </w:r>
            <w:r w:rsidR="006075C6">
              <w:rPr>
                <w:rFonts w:cs="Arial"/>
                <w:lang w:val="en-GB"/>
              </w:rPr>
              <w:t>-</w:t>
            </w:r>
            <w:r w:rsidR="004B5AE9" w:rsidRPr="00EC285E">
              <w:rPr>
                <w:rFonts w:cs="Arial"/>
                <w:lang w:val="en-GB"/>
              </w:rPr>
              <w:t>out</w:t>
            </w:r>
            <w:r w:rsidR="006075C6">
              <w:rPr>
                <w:rFonts w:cs="Arial"/>
                <w:lang w:val="en-GB"/>
              </w:rPr>
              <w:t xml:space="preserve"> policy for</w:t>
            </w:r>
            <w:r w:rsidR="004B5AE9" w:rsidRPr="00EC285E">
              <w:rPr>
                <w:rFonts w:cs="Arial"/>
                <w:lang w:val="en-GB"/>
              </w:rPr>
              <w:t xml:space="preserve"> </w:t>
            </w:r>
            <w:r w:rsidR="00056F33" w:rsidRPr="00EC285E">
              <w:rPr>
                <w:rFonts w:cs="Arial"/>
                <w:lang w:val="en-GB"/>
              </w:rPr>
              <w:t>natural gas</w:t>
            </w:r>
            <w:r w:rsidR="00BE7323">
              <w:rPr>
                <w:rFonts w:cs="Arial"/>
                <w:lang w:val="en-GB"/>
              </w:rPr>
              <w:t xml:space="preserve"> and </w:t>
            </w:r>
            <w:r w:rsidR="00056F33" w:rsidRPr="00EC285E">
              <w:rPr>
                <w:rFonts w:cs="Arial"/>
                <w:lang w:val="en-GB"/>
              </w:rPr>
              <w:t xml:space="preserve">related value chains </w:t>
            </w:r>
            <w:r w:rsidR="004B5AE9" w:rsidRPr="00EC285E">
              <w:rPr>
                <w:rFonts w:cs="Arial"/>
                <w:lang w:val="en-GB"/>
              </w:rPr>
              <w:t>with the same immediacy and scope as for coal and oil</w:t>
            </w:r>
            <w:r w:rsidR="000E2574">
              <w:rPr>
                <w:rFonts w:cs="Arial"/>
                <w:lang w:val="en-GB"/>
              </w:rPr>
              <w:t>.</w:t>
            </w:r>
          </w:p>
        </w:tc>
      </w:tr>
      <w:tr w:rsidR="006C5574" w:rsidRPr="00796A26" w14:paraId="568A43F6" w14:textId="77777777" w:rsidTr="00EC285E">
        <w:trPr>
          <w:trHeight w:val="20"/>
        </w:trPr>
        <w:tc>
          <w:tcPr>
            <w:tcW w:w="1980" w:type="dxa"/>
          </w:tcPr>
          <w:p w14:paraId="7CD90AE2" w14:textId="77777777" w:rsidR="006C5574" w:rsidRPr="00EC285E" w:rsidRDefault="004977EF" w:rsidP="009D0296">
            <w:pPr>
              <w:widowControl w:val="0"/>
              <w:spacing w:after="0" w:line="276" w:lineRule="auto"/>
              <w:jc w:val="left"/>
              <w:rPr>
                <w:rFonts w:cs="Arial"/>
                <w:lang w:val="en-GB"/>
              </w:rPr>
            </w:pPr>
            <w:r w:rsidRPr="00EC285E">
              <w:rPr>
                <w:rFonts w:cs="Arial"/>
                <w:lang w:val="en-GB"/>
              </w:rPr>
              <w:t>Climate impact of and emission reduction targets for all activities (</w:t>
            </w:r>
            <w:r w:rsidRPr="00EC285E">
              <w:rPr>
                <w:rFonts w:cs="Arial"/>
                <w:b/>
                <w:i/>
                <w:lang w:val="en-GB"/>
              </w:rPr>
              <w:t>Dimension 3</w:t>
            </w:r>
            <w:r w:rsidRPr="00EC285E">
              <w:rPr>
                <w:rFonts w:cs="Arial"/>
                <w:lang w:val="en-GB"/>
              </w:rPr>
              <w:t>)</w:t>
            </w:r>
          </w:p>
        </w:tc>
        <w:tc>
          <w:tcPr>
            <w:tcW w:w="7142" w:type="dxa"/>
          </w:tcPr>
          <w:p w14:paraId="2D8376A4" w14:textId="77777777" w:rsidR="00D41144" w:rsidRPr="00EC285E" w:rsidRDefault="00D41144" w:rsidP="009D0296">
            <w:pPr>
              <w:pStyle w:val="Listenabsatz"/>
              <w:widowControl w:val="0"/>
              <w:numPr>
                <w:ilvl w:val="0"/>
                <w:numId w:val="40"/>
              </w:numPr>
              <w:spacing w:after="0" w:line="276" w:lineRule="auto"/>
              <w:jc w:val="left"/>
              <w:rPr>
                <w:rFonts w:cs="Arial"/>
                <w:lang w:val="en-GB"/>
              </w:rPr>
            </w:pPr>
            <w:r w:rsidRPr="00EC285E">
              <w:rPr>
                <w:rFonts w:cs="Arial"/>
                <w:lang w:val="en-GB"/>
              </w:rPr>
              <w:t>Clarify the accounting of support for Dutch exports indirectly used in fossil fuel value chains</w:t>
            </w:r>
            <w:r w:rsidR="000E2574">
              <w:rPr>
                <w:rFonts w:cs="Arial"/>
                <w:lang w:val="en-GB"/>
              </w:rPr>
              <w:t>.</w:t>
            </w:r>
          </w:p>
          <w:p w14:paraId="276B32D8" w14:textId="77777777" w:rsidR="006C5574" w:rsidRPr="00FC68B8" w:rsidRDefault="00471810" w:rsidP="00EC285E">
            <w:pPr>
              <w:pStyle w:val="Listenabsatz"/>
              <w:widowControl w:val="0"/>
              <w:numPr>
                <w:ilvl w:val="0"/>
                <w:numId w:val="40"/>
              </w:numPr>
              <w:spacing w:after="0" w:line="276" w:lineRule="auto"/>
              <w:jc w:val="left"/>
              <w:rPr>
                <w:rFonts w:cs="Arial"/>
                <w:lang w:val="en-GB"/>
              </w:rPr>
            </w:pPr>
            <w:r w:rsidRPr="00EC285E">
              <w:rPr>
                <w:rFonts w:cs="Arial"/>
                <w:lang w:val="en-GB"/>
              </w:rPr>
              <w:t>Design a 1.5°C scenarios for Atradius DSB on a conservative and precautionary basis</w:t>
            </w:r>
            <w:r w:rsidR="0042525B" w:rsidRPr="00EC285E">
              <w:rPr>
                <w:rFonts w:cs="Arial"/>
                <w:lang w:val="en-GB"/>
              </w:rPr>
              <w:t xml:space="preserve"> with reference scenarios from the IEA Net Zero or IPCC P1 pathways</w:t>
            </w:r>
            <w:r w:rsidR="000E2574">
              <w:rPr>
                <w:rFonts w:cs="Arial"/>
                <w:lang w:val="en-GB"/>
              </w:rPr>
              <w:t>.</w:t>
            </w:r>
          </w:p>
        </w:tc>
      </w:tr>
      <w:tr w:rsidR="006C5574" w:rsidRPr="00796A26" w14:paraId="5E6DD367" w14:textId="77777777" w:rsidTr="00EC285E">
        <w:trPr>
          <w:trHeight w:val="20"/>
        </w:trPr>
        <w:tc>
          <w:tcPr>
            <w:tcW w:w="1980" w:type="dxa"/>
          </w:tcPr>
          <w:p w14:paraId="115E16C0" w14:textId="77777777" w:rsidR="006C5574" w:rsidRPr="00EC285E" w:rsidRDefault="00FA3A79" w:rsidP="009D0296">
            <w:pPr>
              <w:widowControl w:val="0"/>
              <w:spacing w:after="0" w:line="276" w:lineRule="auto"/>
              <w:jc w:val="left"/>
              <w:rPr>
                <w:rFonts w:cs="Arial"/>
                <w:lang w:val="en-GB"/>
              </w:rPr>
            </w:pPr>
            <w:r>
              <w:rPr>
                <w:rFonts w:cs="Arial"/>
              </w:rPr>
              <w:t>Positive contribution to the global climate transition</w:t>
            </w:r>
            <w:r w:rsidR="001672CA" w:rsidRPr="001672CA" w:rsidDel="001672CA">
              <w:rPr>
                <w:rFonts w:cs="Arial"/>
                <w:lang w:val="en-GB"/>
              </w:rPr>
              <w:t xml:space="preserve"> </w:t>
            </w:r>
            <w:r w:rsidR="004977EF" w:rsidRPr="00EC285E">
              <w:rPr>
                <w:rFonts w:cs="Arial"/>
                <w:lang w:val="en-GB"/>
              </w:rPr>
              <w:t>(</w:t>
            </w:r>
            <w:r w:rsidR="004977EF" w:rsidRPr="00EC285E">
              <w:rPr>
                <w:rFonts w:cs="Arial"/>
                <w:b/>
                <w:i/>
                <w:lang w:val="en-GB"/>
              </w:rPr>
              <w:t>Dimension 4</w:t>
            </w:r>
            <w:r w:rsidR="004977EF" w:rsidRPr="00EC285E">
              <w:rPr>
                <w:rFonts w:cs="Arial"/>
                <w:lang w:val="en-GB"/>
              </w:rPr>
              <w:t>)</w:t>
            </w:r>
          </w:p>
        </w:tc>
        <w:tc>
          <w:tcPr>
            <w:tcW w:w="7142" w:type="dxa"/>
          </w:tcPr>
          <w:p w14:paraId="619B8A2E" w14:textId="77777777" w:rsidR="006C5574" w:rsidRPr="00EC285E" w:rsidRDefault="005D5E36" w:rsidP="009D0296">
            <w:pPr>
              <w:pStyle w:val="Listenabsatz"/>
              <w:widowControl w:val="0"/>
              <w:numPr>
                <w:ilvl w:val="0"/>
                <w:numId w:val="41"/>
              </w:numPr>
              <w:spacing w:after="0" w:line="276" w:lineRule="auto"/>
              <w:jc w:val="left"/>
              <w:rPr>
                <w:rFonts w:cs="Arial"/>
                <w:lang w:val="en-GB"/>
              </w:rPr>
            </w:pPr>
            <w:r w:rsidRPr="00EC285E">
              <w:rPr>
                <w:rFonts w:cs="Arial"/>
                <w:lang w:val="en-GB"/>
              </w:rPr>
              <w:t>Report ‘green’ activities as a share of total portfolio (project stock) and new activities per year (project flow)</w:t>
            </w:r>
            <w:r w:rsidR="000E2574">
              <w:rPr>
                <w:rFonts w:cs="Arial"/>
                <w:lang w:val="en-GB"/>
              </w:rPr>
              <w:t>.</w:t>
            </w:r>
          </w:p>
          <w:p w14:paraId="2710FD06" w14:textId="77777777" w:rsidR="00836727" w:rsidRPr="00EC285E" w:rsidRDefault="00454763" w:rsidP="009D0296">
            <w:pPr>
              <w:pStyle w:val="Listenabsatz"/>
              <w:widowControl w:val="0"/>
              <w:numPr>
                <w:ilvl w:val="0"/>
                <w:numId w:val="41"/>
              </w:numPr>
              <w:spacing w:after="0" w:line="276" w:lineRule="auto"/>
              <w:jc w:val="left"/>
              <w:rPr>
                <w:rFonts w:cs="Arial"/>
                <w:lang w:val="en-GB"/>
              </w:rPr>
            </w:pPr>
            <w:r w:rsidRPr="00EC285E">
              <w:rPr>
                <w:rFonts w:cs="Arial"/>
                <w:lang w:val="en-GB"/>
              </w:rPr>
              <w:t>Deploy a common definition of energy finance</w:t>
            </w:r>
            <w:r w:rsidR="006A13DD" w:rsidRPr="00EC285E">
              <w:rPr>
                <w:rFonts w:cs="Arial"/>
                <w:lang w:val="en-GB"/>
              </w:rPr>
              <w:t xml:space="preserve"> which can be disaggregated into support for value chains in both </w:t>
            </w:r>
            <w:r w:rsidR="000E518C" w:rsidRPr="00EC285E">
              <w:rPr>
                <w:rFonts w:cs="Arial"/>
                <w:lang w:val="en-GB"/>
              </w:rPr>
              <w:t xml:space="preserve">the </w:t>
            </w:r>
            <w:r w:rsidR="006A13DD" w:rsidRPr="00EC285E">
              <w:rPr>
                <w:rFonts w:cs="Arial"/>
                <w:lang w:val="en-GB"/>
              </w:rPr>
              <w:t xml:space="preserve">fossil and clean </w:t>
            </w:r>
            <w:r w:rsidR="000E518C" w:rsidRPr="00EC285E">
              <w:rPr>
                <w:rFonts w:cs="Arial"/>
                <w:lang w:val="en-GB"/>
              </w:rPr>
              <w:t xml:space="preserve">energy </w:t>
            </w:r>
            <w:r w:rsidR="006A13DD" w:rsidRPr="00EC285E">
              <w:rPr>
                <w:rFonts w:cs="Arial"/>
                <w:lang w:val="en-GB"/>
              </w:rPr>
              <w:t>sector</w:t>
            </w:r>
            <w:r w:rsidR="000E2574">
              <w:rPr>
                <w:rFonts w:cs="Arial"/>
                <w:lang w:val="en-GB"/>
              </w:rPr>
              <w:t>.</w:t>
            </w:r>
          </w:p>
          <w:p w14:paraId="51C7A1C0" w14:textId="77777777" w:rsidR="00753F09" w:rsidRPr="00EC285E" w:rsidRDefault="00C16844" w:rsidP="009D0296">
            <w:pPr>
              <w:pStyle w:val="Listenabsatz"/>
              <w:widowControl w:val="0"/>
              <w:numPr>
                <w:ilvl w:val="0"/>
                <w:numId w:val="41"/>
              </w:numPr>
              <w:spacing w:after="0" w:line="276" w:lineRule="auto"/>
              <w:jc w:val="left"/>
              <w:rPr>
                <w:rFonts w:cs="Arial"/>
                <w:lang w:val="en-GB"/>
              </w:rPr>
            </w:pPr>
            <w:r w:rsidRPr="00EC285E">
              <w:rPr>
                <w:rFonts w:cs="Arial"/>
                <w:lang w:val="en-GB"/>
              </w:rPr>
              <w:t>Consider incentiviz</w:t>
            </w:r>
            <w:r w:rsidR="005279B7" w:rsidRPr="00EC285E">
              <w:rPr>
                <w:rFonts w:cs="Arial"/>
                <w:lang w:val="en-GB"/>
              </w:rPr>
              <w:t>ing</w:t>
            </w:r>
            <w:r w:rsidRPr="00EC285E">
              <w:rPr>
                <w:rFonts w:cs="Arial"/>
                <w:lang w:val="en-GB"/>
              </w:rPr>
              <w:t xml:space="preserve"> climate-friendly exports</w:t>
            </w:r>
            <w:r w:rsidR="005279B7" w:rsidRPr="00EC285E">
              <w:rPr>
                <w:rFonts w:cs="Arial"/>
                <w:lang w:val="en-GB"/>
              </w:rPr>
              <w:t xml:space="preserve"> through price-based discrimination</w:t>
            </w:r>
            <w:r w:rsidR="00764150" w:rsidRPr="00EC285E">
              <w:rPr>
                <w:rFonts w:cs="Arial"/>
                <w:lang w:val="en-GB"/>
              </w:rPr>
              <w:t xml:space="preserve"> of exporters´ premium payments</w:t>
            </w:r>
            <w:r w:rsidR="000E2574">
              <w:rPr>
                <w:rFonts w:cs="Arial"/>
                <w:lang w:val="en-GB"/>
              </w:rPr>
              <w:t>.</w:t>
            </w:r>
          </w:p>
          <w:p w14:paraId="72952308" w14:textId="77777777" w:rsidR="00D50A57" w:rsidRPr="00FC68B8" w:rsidRDefault="00D50A57" w:rsidP="00EC285E">
            <w:pPr>
              <w:pStyle w:val="Listenabsatz"/>
              <w:widowControl w:val="0"/>
              <w:numPr>
                <w:ilvl w:val="0"/>
                <w:numId w:val="41"/>
              </w:numPr>
              <w:spacing w:after="0" w:line="276" w:lineRule="auto"/>
              <w:jc w:val="left"/>
              <w:rPr>
                <w:rFonts w:cs="Arial"/>
                <w:lang w:val="en-GB"/>
              </w:rPr>
            </w:pPr>
            <w:r w:rsidRPr="00EC285E">
              <w:rPr>
                <w:rFonts w:cs="Arial"/>
                <w:lang w:val="en-GB"/>
              </w:rPr>
              <w:t xml:space="preserve">Take a more precautionary approach to contributions to a just climate transition and broader sustainable development by </w:t>
            </w:r>
            <w:r w:rsidR="000422A0">
              <w:rPr>
                <w:rFonts w:cs="Arial"/>
                <w:lang w:val="en-GB"/>
              </w:rPr>
              <w:t xml:space="preserve">ceasing </w:t>
            </w:r>
            <w:r w:rsidR="00DD40E7" w:rsidRPr="00EC285E">
              <w:rPr>
                <w:rFonts w:cs="Arial"/>
                <w:lang w:val="en-GB"/>
              </w:rPr>
              <w:t>support to fossil fuel value chains</w:t>
            </w:r>
            <w:r w:rsidR="000E2574">
              <w:rPr>
                <w:rFonts w:cs="Arial"/>
                <w:lang w:val="en-GB"/>
              </w:rPr>
              <w:t>.</w:t>
            </w:r>
          </w:p>
        </w:tc>
      </w:tr>
      <w:tr w:rsidR="006C5574" w:rsidRPr="00796A26" w14:paraId="36A55A01" w14:textId="77777777" w:rsidTr="00EC285E">
        <w:trPr>
          <w:trHeight w:val="20"/>
        </w:trPr>
        <w:tc>
          <w:tcPr>
            <w:tcW w:w="1980" w:type="dxa"/>
          </w:tcPr>
          <w:p w14:paraId="36540D08" w14:textId="77777777" w:rsidR="006C5574" w:rsidRPr="00EC285E" w:rsidRDefault="004977EF" w:rsidP="009D0296">
            <w:pPr>
              <w:widowControl w:val="0"/>
              <w:spacing w:after="0" w:line="276" w:lineRule="auto"/>
              <w:jc w:val="left"/>
              <w:rPr>
                <w:rFonts w:cs="Arial"/>
                <w:lang w:val="en-GB"/>
              </w:rPr>
            </w:pPr>
            <w:r w:rsidRPr="00EC285E">
              <w:rPr>
                <w:rFonts w:cs="Arial"/>
                <w:lang w:val="en-GB"/>
              </w:rPr>
              <w:t xml:space="preserve">Outreach and </w:t>
            </w:r>
            <w:r w:rsidR="008177B9">
              <w:rPr>
                <w:rFonts w:cs="Arial"/>
                <w:lang w:val="en-GB"/>
              </w:rPr>
              <w:t>‘</w:t>
            </w:r>
            <w:r w:rsidRPr="00EC285E">
              <w:rPr>
                <w:rFonts w:cs="Arial"/>
                <w:lang w:val="en-GB"/>
              </w:rPr>
              <w:t>pro-activeness</w:t>
            </w:r>
            <w:r w:rsidR="008177B9">
              <w:rPr>
                <w:rFonts w:cs="Arial"/>
                <w:lang w:val="en-GB"/>
              </w:rPr>
              <w:t>’</w:t>
            </w:r>
            <w:r w:rsidRPr="00EC285E">
              <w:rPr>
                <w:rFonts w:cs="Arial"/>
                <w:lang w:val="en-GB"/>
              </w:rPr>
              <w:t xml:space="preserve"> of the ECA and its governments</w:t>
            </w:r>
            <w:r w:rsidR="00DF2E2E" w:rsidRPr="00EC285E">
              <w:rPr>
                <w:rFonts w:cs="Arial"/>
                <w:lang w:val="en-GB"/>
              </w:rPr>
              <w:t xml:space="preserve"> (</w:t>
            </w:r>
            <w:r w:rsidR="00DF2E2E" w:rsidRPr="00EC285E">
              <w:rPr>
                <w:rFonts w:cs="Arial"/>
                <w:b/>
                <w:i/>
                <w:lang w:val="en-GB"/>
              </w:rPr>
              <w:t>Dimension 5</w:t>
            </w:r>
            <w:r w:rsidR="00DF2E2E" w:rsidRPr="00EC285E">
              <w:rPr>
                <w:rFonts w:cs="Arial"/>
                <w:lang w:val="en-GB"/>
              </w:rPr>
              <w:t>)</w:t>
            </w:r>
          </w:p>
        </w:tc>
        <w:tc>
          <w:tcPr>
            <w:tcW w:w="7142" w:type="dxa"/>
          </w:tcPr>
          <w:p w14:paraId="5184B3FD" w14:textId="77777777" w:rsidR="004A5663" w:rsidRDefault="004A5663" w:rsidP="009D0296">
            <w:pPr>
              <w:pStyle w:val="Listenabsatz"/>
              <w:widowControl w:val="0"/>
              <w:numPr>
                <w:ilvl w:val="0"/>
                <w:numId w:val="42"/>
              </w:numPr>
              <w:spacing w:after="0" w:line="276" w:lineRule="auto"/>
              <w:jc w:val="left"/>
              <w:rPr>
                <w:rFonts w:cs="Arial"/>
                <w:lang w:val="en-GB"/>
              </w:rPr>
            </w:pPr>
            <w:r>
              <w:rPr>
                <w:rFonts w:cs="Arial"/>
                <w:lang w:val="en-GB"/>
              </w:rPr>
              <w:t xml:space="preserve">Raise ambition within the E3F rather than </w:t>
            </w:r>
            <w:r w:rsidR="001F345B">
              <w:rPr>
                <w:rFonts w:cs="Arial"/>
                <w:lang w:val="en-GB"/>
              </w:rPr>
              <w:t>advocating for more extensive membership.</w:t>
            </w:r>
          </w:p>
          <w:p w14:paraId="6AF9C0B5" w14:textId="77777777" w:rsidR="006C5574" w:rsidRPr="00EC285E" w:rsidRDefault="00D313C6" w:rsidP="009D0296">
            <w:pPr>
              <w:pStyle w:val="Listenabsatz"/>
              <w:widowControl w:val="0"/>
              <w:numPr>
                <w:ilvl w:val="0"/>
                <w:numId w:val="42"/>
              </w:numPr>
              <w:spacing w:after="0" w:line="276" w:lineRule="auto"/>
              <w:jc w:val="left"/>
              <w:rPr>
                <w:rFonts w:cs="Arial"/>
                <w:lang w:val="en-GB"/>
              </w:rPr>
            </w:pPr>
            <w:r w:rsidRPr="00EC285E">
              <w:rPr>
                <w:rFonts w:cs="Arial"/>
                <w:lang w:val="en-GB"/>
              </w:rPr>
              <w:t xml:space="preserve">Further strengthen Dutch </w:t>
            </w:r>
            <w:r w:rsidR="008022FF" w:rsidRPr="00EC285E">
              <w:rPr>
                <w:rFonts w:cs="Arial"/>
                <w:lang w:val="en-GB"/>
              </w:rPr>
              <w:t>engage</w:t>
            </w:r>
            <w:r w:rsidRPr="00EC285E">
              <w:rPr>
                <w:rFonts w:cs="Arial"/>
                <w:lang w:val="en-GB"/>
              </w:rPr>
              <w:t>ment</w:t>
            </w:r>
            <w:r w:rsidR="008022FF" w:rsidRPr="00EC285E">
              <w:rPr>
                <w:rFonts w:cs="Arial"/>
                <w:lang w:val="en-GB"/>
              </w:rPr>
              <w:t xml:space="preserve"> at various international</w:t>
            </w:r>
            <w:r w:rsidRPr="00EC285E">
              <w:rPr>
                <w:rFonts w:cs="Arial"/>
                <w:lang w:val="en-GB"/>
              </w:rPr>
              <w:t xml:space="preserve"> </w:t>
            </w:r>
            <w:r w:rsidR="004158A1" w:rsidRPr="00EC285E">
              <w:rPr>
                <w:rFonts w:cs="Arial"/>
                <w:lang w:val="en-GB"/>
              </w:rPr>
              <w:t xml:space="preserve">policy </w:t>
            </w:r>
            <w:r w:rsidR="008022FF" w:rsidRPr="00EC285E">
              <w:rPr>
                <w:rFonts w:cs="Arial"/>
                <w:lang w:val="en-GB"/>
              </w:rPr>
              <w:t xml:space="preserve">levels </w:t>
            </w:r>
            <w:r w:rsidR="000422A0">
              <w:rPr>
                <w:rFonts w:cs="Arial"/>
                <w:lang w:val="en-GB"/>
              </w:rPr>
              <w:t>for</w:t>
            </w:r>
            <w:r w:rsidRPr="00EC285E">
              <w:rPr>
                <w:rFonts w:cs="Arial"/>
                <w:lang w:val="en-GB"/>
              </w:rPr>
              <w:t xml:space="preserve"> </w:t>
            </w:r>
            <w:r w:rsidR="00F21C8B">
              <w:rPr>
                <w:rFonts w:cs="Arial"/>
                <w:lang w:val="en-GB"/>
              </w:rPr>
              <w:t xml:space="preserve">ambitious </w:t>
            </w:r>
            <w:r w:rsidRPr="00EC285E">
              <w:rPr>
                <w:rFonts w:cs="Arial"/>
                <w:lang w:val="en-GB"/>
              </w:rPr>
              <w:t>climate-related reform</w:t>
            </w:r>
            <w:r w:rsidR="000422A0">
              <w:rPr>
                <w:rFonts w:cs="Arial"/>
                <w:lang w:val="en-GB"/>
              </w:rPr>
              <w:t>s</w:t>
            </w:r>
            <w:r w:rsidR="00575F70">
              <w:rPr>
                <w:rFonts w:cs="Arial"/>
                <w:lang w:val="en-GB"/>
              </w:rPr>
              <w:t>, especially the OECD Arrangement</w:t>
            </w:r>
            <w:r w:rsidR="000E2574">
              <w:rPr>
                <w:rFonts w:cs="Arial"/>
                <w:lang w:val="en-GB"/>
              </w:rPr>
              <w:t>.</w:t>
            </w:r>
          </w:p>
          <w:p w14:paraId="0A62CAC1" w14:textId="77777777" w:rsidR="004158A1" w:rsidRPr="00EC285E" w:rsidRDefault="007742EF" w:rsidP="009D0296">
            <w:pPr>
              <w:pStyle w:val="Listenabsatz"/>
              <w:widowControl w:val="0"/>
              <w:numPr>
                <w:ilvl w:val="0"/>
                <w:numId w:val="42"/>
              </w:numPr>
              <w:spacing w:after="0" w:line="276" w:lineRule="auto"/>
              <w:jc w:val="left"/>
              <w:rPr>
                <w:rFonts w:cs="Arial"/>
                <w:lang w:val="en-GB"/>
              </w:rPr>
            </w:pPr>
            <w:r w:rsidRPr="00EC285E">
              <w:rPr>
                <w:rFonts w:cs="Arial"/>
                <w:lang w:val="en-GB"/>
              </w:rPr>
              <w:t xml:space="preserve">Elaborate a broader strategy to fully align </w:t>
            </w:r>
            <w:r w:rsidR="00ED37F0" w:rsidRPr="00EC285E">
              <w:rPr>
                <w:rFonts w:cs="Arial"/>
                <w:lang w:val="en-GB"/>
              </w:rPr>
              <w:t>the</w:t>
            </w:r>
            <w:r w:rsidRPr="00EC285E">
              <w:rPr>
                <w:rFonts w:cs="Arial"/>
                <w:lang w:val="en-GB"/>
              </w:rPr>
              <w:t xml:space="preserve"> entire export sector, including officially supported export finance, with the Paris </w:t>
            </w:r>
            <w:r w:rsidRPr="00EC285E">
              <w:rPr>
                <w:rFonts w:cs="Arial"/>
                <w:lang w:val="en-GB"/>
              </w:rPr>
              <w:lastRenderedPageBreak/>
              <w:t>Agreement</w:t>
            </w:r>
            <w:r w:rsidR="000E2574">
              <w:rPr>
                <w:rFonts w:cs="Arial"/>
                <w:lang w:val="en-GB"/>
              </w:rPr>
              <w:t>.</w:t>
            </w:r>
          </w:p>
          <w:p w14:paraId="0B091047" w14:textId="77777777" w:rsidR="006278FA" w:rsidRPr="00EC285E" w:rsidRDefault="00C220C7" w:rsidP="009D0296">
            <w:pPr>
              <w:pStyle w:val="Listenabsatz"/>
              <w:widowControl w:val="0"/>
              <w:numPr>
                <w:ilvl w:val="0"/>
                <w:numId w:val="42"/>
              </w:numPr>
              <w:spacing w:after="0" w:line="276" w:lineRule="auto"/>
              <w:jc w:val="left"/>
              <w:rPr>
                <w:rFonts w:cs="Arial"/>
                <w:lang w:val="en-GB"/>
              </w:rPr>
            </w:pPr>
            <w:r w:rsidRPr="00EC285E">
              <w:rPr>
                <w:rFonts w:cs="Arial"/>
                <w:lang w:val="en-GB"/>
              </w:rPr>
              <w:t>Work in tandem</w:t>
            </w:r>
            <w:r w:rsidR="00E708E1" w:rsidRPr="00EC285E">
              <w:rPr>
                <w:rFonts w:cs="Arial"/>
                <w:lang w:val="en-GB"/>
              </w:rPr>
              <w:t xml:space="preserve"> </w:t>
            </w:r>
            <w:r w:rsidRPr="00EC285E">
              <w:rPr>
                <w:rFonts w:cs="Arial"/>
                <w:lang w:val="en-GB"/>
              </w:rPr>
              <w:t xml:space="preserve">with </w:t>
            </w:r>
            <w:r w:rsidR="00E708E1" w:rsidRPr="00EC285E">
              <w:rPr>
                <w:rFonts w:cs="Arial"/>
                <w:lang w:val="en-GB"/>
              </w:rPr>
              <w:t>export businesses and</w:t>
            </w:r>
            <w:r w:rsidRPr="00EC285E">
              <w:rPr>
                <w:rFonts w:cs="Arial"/>
                <w:lang w:val="en-GB"/>
              </w:rPr>
              <w:t xml:space="preserve"> design</w:t>
            </w:r>
            <w:r w:rsidR="00E708E1" w:rsidRPr="00EC285E">
              <w:rPr>
                <w:rFonts w:cs="Arial"/>
                <w:lang w:val="en-GB"/>
              </w:rPr>
              <w:t xml:space="preserve"> complementary polic</w:t>
            </w:r>
            <w:r w:rsidRPr="00EC285E">
              <w:rPr>
                <w:rFonts w:cs="Arial"/>
                <w:lang w:val="en-GB"/>
              </w:rPr>
              <w:t>ies</w:t>
            </w:r>
            <w:r w:rsidR="00E708E1" w:rsidRPr="00EC285E">
              <w:rPr>
                <w:rFonts w:cs="Arial"/>
                <w:lang w:val="en-GB"/>
              </w:rPr>
              <w:t xml:space="preserve"> to </w:t>
            </w:r>
            <w:r w:rsidR="00895103" w:rsidRPr="00EC285E">
              <w:rPr>
                <w:rFonts w:cs="Arial"/>
                <w:lang w:val="en-GB"/>
              </w:rPr>
              <w:t>cope with</w:t>
            </w:r>
            <w:r w:rsidR="00E708E1" w:rsidRPr="00EC285E">
              <w:rPr>
                <w:rFonts w:cs="Arial"/>
                <w:lang w:val="en-GB"/>
              </w:rPr>
              <w:t xml:space="preserve"> </w:t>
            </w:r>
            <w:r w:rsidR="00731153" w:rsidRPr="00EC285E">
              <w:rPr>
                <w:rFonts w:cs="Arial"/>
                <w:lang w:val="en-GB"/>
              </w:rPr>
              <w:t xml:space="preserve">potential </w:t>
            </w:r>
            <w:r w:rsidR="00E708E1" w:rsidRPr="00EC285E">
              <w:rPr>
                <w:rFonts w:cs="Arial"/>
                <w:lang w:val="en-GB"/>
              </w:rPr>
              <w:t>short-term economic challenges</w:t>
            </w:r>
            <w:r w:rsidR="00731153" w:rsidRPr="00EC285E">
              <w:rPr>
                <w:rFonts w:cs="Arial"/>
                <w:lang w:val="en-GB"/>
              </w:rPr>
              <w:t xml:space="preserve"> ensuing rapid fossil fuel phase out</w:t>
            </w:r>
            <w:r w:rsidR="00E708E1" w:rsidRPr="00EC285E">
              <w:rPr>
                <w:rFonts w:cs="Arial"/>
                <w:lang w:val="en-GB"/>
              </w:rPr>
              <w:t>, such as employment transition or compensation management</w:t>
            </w:r>
            <w:r w:rsidR="000E2574">
              <w:rPr>
                <w:rFonts w:cs="Arial"/>
                <w:lang w:val="en-GB"/>
              </w:rPr>
              <w:t>.</w:t>
            </w:r>
          </w:p>
          <w:p w14:paraId="75C2362D" w14:textId="77777777" w:rsidR="00675385" w:rsidRPr="00FC68B8" w:rsidRDefault="00675385" w:rsidP="00EC285E">
            <w:pPr>
              <w:pStyle w:val="Listenabsatz"/>
              <w:widowControl w:val="0"/>
              <w:numPr>
                <w:ilvl w:val="0"/>
                <w:numId w:val="42"/>
              </w:numPr>
              <w:spacing w:after="0" w:line="276" w:lineRule="auto"/>
              <w:jc w:val="left"/>
              <w:rPr>
                <w:rFonts w:cs="Arial"/>
                <w:lang w:val="en-GB"/>
              </w:rPr>
            </w:pPr>
            <w:r w:rsidRPr="00EC285E">
              <w:rPr>
                <w:rFonts w:cs="Arial"/>
                <w:lang w:val="en-GB"/>
              </w:rPr>
              <w:t>Establish a scientific advisory council on climate change</w:t>
            </w:r>
            <w:r w:rsidR="000E2574">
              <w:rPr>
                <w:rFonts w:cs="Arial"/>
                <w:lang w:val="en-GB"/>
              </w:rPr>
              <w:t>.</w:t>
            </w:r>
          </w:p>
        </w:tc>
      </w:tr>
    </w:tbl>
    <w:p w14:paraId="007AA35F" w14:textId="77777777" w:rsidR="003F0718" w:rsidRPr="00070A29" w:rsidRDefault="00EE41DF" w:rsidP="001274B2">
      <w:pPr>
        <w:rPr>
          <w:rFonts w:cs="Arial"/>
          <w:sz w:val="18"/>
          <w:szCs w:val="18"/>
        </w:rPr>
      </w:pPr>
      <w:r w:rsidRPr="00070A29">
        <w:rPr>
          <w:rFonts w:cs="Arial"/>
          <w:i/>
          <w:sz w:val="18"/>
          <w:szCs w:val="18"/>
          <w:u w:val="single"/>
        </w:rPr>
        <w:lastRenderedPageBreak/>
        <w:t>Note:</w:t>
      </w:r>
      <w:r w:rsidRPr="00070A29">
        <w:rPr>
          <w:rFonts w:cs="Arial"/>
          <w:sz w:val="18"/>
          <w:szCs w:val="18"/>
        </w:rPr>
        <w:t xml:space="preserve"> </w:t>
      </w:r>
      <w:r w:rsidR="00825492" w:rsidRPr="00070A29">
        <w:rPr>
          <w:rFonts w:cs="Arial"/>
          <w:iCs/>
          <w:sz w:val="18"/>
          <w:szCs w:val="18"/>
        </w:rPr>
        <w:t>Please refer to the respective sections above for fully detailed</w:t>
      </w:r>
      <w:r w:rsidR="00977755" w:rsidRPr="00070A29">
        <w:rPr>
          <w:rFonts w:cs="Arial"/>
          <w:iCs/>
          <w:sz w:val="18"/>
          <w:szCs w:val="18"/>
        </w:rPr>
        <w:t xml:space="preserve"> recommendations.</w:t>
      </w:r>
    </w:p>
    <w:p w14:paraId="7BDA202A" w14:textId="77777777" w:rsidR="00A467C8" w:rsidRDefault="00A467C8" w:rsidP="00EC285E">
      <w:pPr>
        <w:rPr>
          <w:rFonts w:cs="Arial"/>
          <w:lang w:val="en-GB"/>
        </w:rPr>
      </w:pPr>
    </w:p>
    <w:p w14:paraId="7A10F559" w14:textId="77777777" w:rsidR="00FB2836" w:rsidRPr="00FB2836" w:rsidRDefault="00FB2836" w:rsidP="00EC285E">
      <w:pPr>
        <w:rPr>
          <w:rFonts w:cs="Arial"/>
          <w:lang w:val="en-GB"/>
        </w:rPr>
      </w:pPr>
    </w:p>
    <w:p w14:paraId="77A15A14" w14:textId="77777777" w:rsidR="002F793B" w:rsidRPr="000C35EB" w:rsidRDefault="002F793B" w:rsidP="00EC285E">
      <w:pPr>
        <w:rPr>
          <w:lang w:val="en-GB"/>
        </w:rPr>
      </w:pPr>
      <w:r w:rsidRPr="000C35EB">
        <w:rPr>
          <w:lang w:val="en-GB"/>
        </w:rPr>
        <w:br w:type="page"/>
      </w:r>
    </w:p>
    <w:p w14:paraId="0409B020" w14:textId="77777777" w:rsidR="001274B2" w:rsidRPr="00FC1E5A" w:rsidRDefault="001274B2" w:rsidP="001274B2">
      <w:pPr>
        <w:pStyle w:val="berschrift1"/>
        <w:rPr>
          <w:rFonts w:ascii="Arial" w:hAnsi="Arial"/>
        </w:rPr>
      </w:pPr>
      <w:bookmarkStart w:id="27" w:name="_Toc84520034"/>
      <w:r w:rsidRPr="00FC1E5A">
        <w:rPr>
          <w:rFonts w:ascii="Arial" w:hAnsi="Arial"/>
        </w:rPr>
        <w:lastRenderedPageBreak/>
        <w:t>References</w:t>
      </w:r>
      <w:bookmarkEnd w:id="27"/>
    </w:p>
    <w:p w14:paraId="02B65CAC" w14:textId="77777777" w:rsidR="00ED01DA" w:rsidRPr="00565531" w:rsidRDefault="00ED01DA" w:rsidP="002923FE">
      <w:pPr>
        <w:spacing w:after="120"/>
        <w:ind w:left="567" w:hanging="567"/>
        <w:jc w:val="left"/>
        <w:rPr>
          <w:rFonts w:cs="Arial"/>
          <w:iCs/>
          <w:lang w:val="en-GB"/>
        </w:rPr>
      </w:pPr>
      <w:r w:rsidRPr="00565531">
        <w:rPr>
          <w:rFonts w:cs="Arial"/>
          <w:iCs/>
          <w:lang w:val="en-GB"/>
        </w:rPr>
        <w:t xml:space="preserve">ActionAid et al. (2021): Export finance leadership coalition fails to lead. </w:t>
      </w:r>
      <w:r w:rsidRPr="00565531">
        <w:rPr>
          <w:i/>
          <w:iCs/>
        </w:rPr>
        <w:t xml:space="preserve">Public statement by civil society </w:t>
      </w:r>
      <w:proofErr w:type="spellStart"/>
      <w:r w:rsidRPr="00565531">
        <w:rPr>
          <w:i/>
          <w:iCs/>
        </w:rPr>
        <w:t>organisations</w:t>
      </w:r>
      <w:proofErr w:type="spellEnd"/>
      <w:r w:rsidRPr="00565531">
        <w:rPr>
          <w:i/>
          <w:iCs/>
        </w:rPr>
        <w:t xml:space="preserve"> on the launch of the Export Finance for Future. </w:t>
      </w:r>
      <w:hyperlink r:id="rId19" w:history="1">
        <w:r w:rsidRPr="00565531">
          <w:rPr>
            <w:rStyle w:val="Hyperlink"/>
          </w:rPr>
          <w:t>https://www.bothends.org/uploaded_files/inlineitem/210414_Statement_on_Export_Finance_for_Future_FINAL.pdf</w:t>
        </w:r>
      </w:hyperlink>
      <w:r w:rsidRPr="00565531">
        <w:rPr>
          <w:i/>
          <w:iCs/>
        </w:rPr>
        <w:t xml:space="preserve"> </w:t>
      </w:r>
      <w:r w:rsidRPr="00565531">
        <w:rPr>
          <w:rFonts w:cs="Arial"/>
          <w:lang w:val="en-GB"/>
        </w:rPr>
        <w:t>(accessed August 13, 2021)</w:t>
      </w:r>
    </w:p>
    <w:p w14:paraId="290DE9EF" w14:textId="77777777" w:rsidR="0072688E" w:rsidRPr="00565531" w:rsidRDefault="0072688E" w:rsidP="002923FE">
      <w:pPr>
        <w:spacing w:after="120"/>
        <w:ind w:left="567" w:hanging="567"/>
        <w:jc w:val="left"/>
        <w:rPr>
          <w:rFonts w:cs="Arial"/>
          <w:iCs/>
          <w:lang w:val="en-GB"/>
        </w:rPr>
      </w:pPr>
      <w:r w:rsidRPr="00565531">
        <w:rPr>
          <w:rFonts w:cs="Arial"/>
          <w:iCs/>
          <w:lang w:val="en-GB"/>
        </w:rPr>
        <w:t xml:space="preserve">AIV (2019): Advisory letter. International Climate Policy No. 33, July 2019. </w:t>
      </w:r>
      <w:hyperlink r:id="rId20" w:history="1">
        <w:r w:rsidRPr="00565531">
          <w:rPr>
            <w:rStyle w:val="Hyperlink"/>
            <w:rFonts w:cs="Arial"/>
            <w:iCs/>
            <w:lang w:val="en-GB"/>
          </w:rPr>
          <w:t>https://www.advisorycouncilinternationalaffairs.nl/binaries/advisorycouncilinternationalaffairs/documents/publications/2019/07/05/international-climate-policy/International_Climate_Policy_AIV-Advisory-letter-33_ENG_201907.pdf</w:t>
        </w:r>
      </w:hyperlink>
      <w:r w:rsidRPr="00565531">
        <w:rPr>
          <w:rFonts w:cs="Arial"/>
          <w:iCs/>
          <w:lang w:val="en-GB"/>
        </w:rPr>
        <w:t xml:space="preserve"> </w:t>
      </w:r>
      <w:r w:rsidRPr="00565531">
        <w:rPr>
          <w:rFonts w:cs="Arial"/>
          <w:lang w:val="en-GB"/>
        </w:rPr>
        <w:t>(accessed August 13, 2021)</w:t>
      </w:r>
    </w:p>
    <w:p w14:paraId="15D43931" w14:textId="77777777" w:rsidR="000B66B3" w:rsidRPr="00565531" w:rsidRDefault="000B66B3" w:rsidP="002923FE">
      <w:pPr>
        <w:spacing w:after="120"/>
        <w:ind w:left="567" w:hanging="567"/>
        <w:jc w:val="left"/>
        <w:rPr>
          <w:rFonts w:cs="Arial"/>
          <w:iCs/>
          <w:lang w:val="en-GB"/>
        </w:rPr>
      </w:pPr>
      <w:r w:rsidRPr="00565531">
        <w:rPr>
          <w:rFonts w:cs="Arial"/>
          <w:iCs/>
          <w:lang w:val="fr-FR"/>
        </w:rPr>
        <w:t xml:space="preserve">Alvarez, </w:t>
      </w:r>
      <w:proofErr w:type="spellStart"/>
      <w:r w:rsidRPr="00565531">
        <w:rPr>
          <w:rFonts w:cs="Arial"/>
          <w:iCs/>
          <w:lang w:val="fr-FR"/>
        </w:rPr>
        <w:t>Ramón</w:t>
      </w:r>
      <w:proofErr w:type="spellEnd"/>
      <w:r w:rsidRPr="00565531">
        <w:rPr>
          <w:rFonts w:cs="Arial"/>
          <w:iCs/>
          <w:lang w:val="fr-FR"/>
        </w:rPr>
        <w:t xml:space="preserve"> A. et al. </w:t>
      </w:r>
      <w:r w:rsidRPr="00565531">
        <w:rPr>
          <w:rFonts w:cs="Arial"/>
          <w:iCs/>
          <w:lang w:val="en-GB"/>
        </w:rPr>
        <w:t xml:space="preserve">(2018): Assessment of methane emissions from the U.S. oil and gas supply chain. </w:t>
      </w:r>
      <w:hyperlink r:id="rId21" w:history="1">
        <w:r w:rsidRPr="00565531">
          <w:rPr>
            <w:rStyle w:val="Hyperlink"/>
            <w:rFonts w:cs="Arial"/>
            <w:iCs/>
            <w:lang w:val="en-GB"/>
          </w:rPr>
          <w:t>https://www.science.org/lookup/doi/10.1126/science.aar7204</w:t>
        </w:r>
      </w:hyperlink>
      <w:r w:rsidRPr="00565531">
        <w:rPr>
          <w:rFonts w:cs="Arial"/>
          <w:iCs/>
          <w:lang w:val="en-GB"/>
        </w:rPr>
        <w:t xml:space="preserve"> </w:t>
      </w:r>
      <w:r w:rsidRPr="00565531">
        <w:rPr>
          <w:rFonts w:cs="Arial"/>
          <w:lang w:val="en-GB"/>
        </w:rPr>
        <w:t>(accessed August 13, 2021)</w:t>
      </w:r>
    </w:p>
    <w:p w14:paraId="09A2BC3C" w14:textId="77777777" w:rsidR="00674D04" w:rsidRPr="00565531" w:rsidRDefault="00674D04" w:rsidP="002923FE">
      <w:pPr>
        <w:spacing w:after="120"/>
        <w:ind w:left="567" w:hanging="567"/>
        <w:jc w:val="left"/>
        <w:rPr>
          <w:rFonts w:cs="Arial"/>
          <w:iCs/>
          <w:lang w:val="en-GB"/>
        </w:rPr>
      </w:pPr>
      <w:r w:rsidRPr="00565531">
        <w:rPr>
          <w:rFonts w:cs="Arial"/>
          <w:iCs/>
          <w:lang w:val="en-GB"/>
        </w:rPr>
        <w:t xml:space="preserve">Atradius DSB (n.d.): Information Disclosure Policy. </w:t>
      </w:r>
      <w:hyperlink r:id="rId22" w:history="1">
        <w:r w:rsidRPr="00565531">
          <w:rPr>
            <w:rStyle w:val="Hyperlink"/>
            <w:rFonts w:cs="Arial"/>
            <w:iCs/>
            <w:lang w:val="en-GB"/>
          </w:rPr>
          <w:t>https://atradiusdutchstatebusiness.nl/en/documents/44.105.01.e-information-disclosure-policy.pdf</w:t>
        </w:r>
      </w:hyperlink>
      <w:r w:rsidRPr="00565531">
        <w:rPr>
          <w:rFonts w:cs="Arial"/>
          <w:iCs/>
          <w:lang w:val="en-GB"/>
        </w:rPr>
        <w:t xml:space="preserve"> </w:t>
      </w:r>
      <w:r w:rsidRPr="00565531">
        <w:rPr>
          <w:rFonts w:cs="Arial"/>
          <w:lang w:val="en-GB"/>
        </w:rPr>
        <w:t>(accessed August 13, 2021)</w:t>
      </w:r>
    </w:p>
    <w:p w14:paraId="431BFC73" w14:textId="77777777" w:rsidR="0085702B" w:rsidRPr="00565531" w:rsidRDefault="0085702B" w:rsidP="002923FE">
      <w:pPr>
        <w:spacing w:after="120"/>
        <w:ind w:left="567" w:hanging="567"/>
        <w:jc w:val="left"/>
        <w:rPr>
          <w:rFonts w:cs="Arial"/>
          <w:iCs/>
          <w:lang w:val="en-GB"/>
        </w:rPr>
      </w:pPr>
      <w:r w:rsidRPr="00565531">
        <w:rPr>
          <w:rFonts w:cs="Arial"/>
          <w:iCs/>
          <w:lang w:val="en-GB"/>
        </w:rPr>
        <w:t xml:space="preserve">Atradius DSB (2017): Sustainability Report 2017. </w:t>
      </w:r>
      <w:hyperlink r:id="rId23" w:history="1">
        <w:r w:rsidRPr="00565531">
          <w:rPr>
            <w:rStyle w:val="Hyperlink"/>
            <w:rFonts w:cs="Arial"/>
            <w:iCs/>
            <w:lang w:val="en-GB"/>
          </w:rPr>
          <w:t>https://atradiusdutchstatebusiness.nl/en/documents/2017_sustainability_report.pdf</w:t>
        </w:r>
      </w:hyperlink>
      <w:r w:rsidRPr="00565531">
        <w:rPr>
          <w:rFonts w:cs="Arial"/>
          <w:iCs/>
          <w:lang w:val="en-GB"/>
        </w:rPr>
        <w:t xml:space="preserve"> </w:t>
      </w:r>
      <w:r w:rsidRPr="00565531">
        <w:rPr>
          <w:rFonts w:cs="Arial"/>
          <w:lang w:val="en-GB"/>
        </w:rPr>
        <w:t>(accessed August 13, 2021)</w:t>
      </w:r>
    </w:p>
    <w:p w14:paraId="23B09987" w14:textId="77777777" w:rsidR="00BF5E5B" w:rsidRPr="00565531" w:rsidRDefault="00225729" w:rsidP="002923FE">
      <w:pPr>
        <w:spacing w:after="120"/>
        <w:ind w:left="567" w:hanging="567"/>
        <w:jc w:val="left"/>
        <w:rPr>
          <w:rFonts w:cs="Arial"/>
          <w:lang w:val="en-GB"/>
        </w:rPr>
      </w:pPr>
      <w:r w:rsidRPr="00565531">
        <w:rPr>
          <w:rFonts w:cs="Arial"/>
          <w:iCs/>
          <w:lang w:val="en-GB"/>
        </w:rPr>
        <w:t xml:space="preserve">Atradius N.V. (2020): Annual Report Atradius N.V. 2020. </w:t>
      </w:r>
      <w:hyperlink r:id="rId24" w:history="1">
        <w:r w:rsidRPr="00565531">
          <w:rPr>
            <w:rStyle w:val="Hyperlink"/>
            <w:rFonts w:cs="Arial"/>
            <w:iCs/>
            <w:lang w:val="en-GB"/>
          </w:rPr>
          <w:t>https://group.atradius.com/about-us/annual-reports.html</w:t>
        </w:r>
      </w:hyperlink>
      <w:r w:rsidRPr="00565531">
        <w:rPr>
          <w:rFonts w:cs="Arial"/>
          <w:iCs/>
          <w:lang w:val="en-GB"/>
        </w:rPr>
        <w:t xml:space="preserve"> </w:t>
      </w:r>
      <w:r w:rsidRPr="00565531">
        <w:rPr>
          <w:rFonts w:cs="Arial"/>
          <w:lang w:val="en-GB"/>
        </w:rPr>
        <w:t>(accessed August 13, 2021)</w:t>
      </w:r>
    </w:p>
    <w:p w14:paraId="48FE8A0A" w14:textId="77777777" w:rsidR="002126D1" w:rsidRPr="00565531" w:rsidRDefault="002126D1" w:rsidP="002923FE">
      <w:pPr>
        <w:spacing w:after="120"/>
        <w:ind w:left="567" w:hanging="567"/>
        <w:jc w:val="left"/>
        <w:rPr>
          <w:rFonts w:cs="Arial"/>
          <w:lang w:val="en-GB"/>
        </w:rPr>
      </w:pPr>
      <w:r w:rsidRPr="00565531">
        <w:rPr>
          <w:rFonts w:cs="Arial"/>
          <w:lang w:val="en-GB"/>
        </w:rPr>
        <w:t>Atradius DSB (2020):</w:t>
      </w:r>
      <w:r w:rsidRPr="00565531">
        <w:t xml:space="preserve"> </w:t>
      </w:r>
      <w:r w:rsidRPr="00565531">
        <w:rPr>
          <w:rFonts w:cs="Arial"/>
          <w:lang w:val="en-GB"/>
        </w:rPr>
        <w:t xml:space="preserve">The Green Label. </w:t>
      </w:r>
      <w:r w:rsidR="00E82AFF" w:rsidRPr="00565531">
        <w:rPr>
          <w:rFonts w:cs="Arial"/>
          <w:lang w:val="en-GB"/>
        </w:rPr>
        <w:t xml:space="preserve">Version December 2020. </w:t>
      </w:r>
      <w:hyperlink r:id="rId25" w:history="1">
        <w:r w:rsidR="00E76C61" w:rsidRPr="00565531">
          <w:rPr>
            <w:rStyle w:val="Hyperlink"/>
            <w:rFonts w:cs="Arial"/>
            <w:lang w:val="en-GB"/>
          </w:rPr>
          <w:t>https://atradiusdutchstatebusiness.nl/en/documents/the_green_label_eng.pdf</w:t>
        </w:r>
      </w:hyperlink>
      <w:r w:rsidRPr="00565531">
        <w:rPr>
          <w:rFonts w:cs="Arial"/>
          <w:lang w:val="en-GB"/>
        </w:rPr>
        <w:t xml:space="preserve"> (accessed August 13, 2021)</w:t>
      </w:r>
    </w:p>
    <w:p w14:paraId="68026BBC" w14:textId="77777777" w:rsidR="00FC000B" w:rsidRPr="00565531" w:rsidRDefault="00FC000B" w:rsidP="002923FE">
      <w:pPr>
        <w:spacing w:after="120"/>
        <w:ind w:left="567" w:hanging="567"/>
        <w:jc w:val="left"/>
        <w:rPr>
          <w:rFonts w:cs="Arial"/>
          <w:lang w:val="en-GB"/>
        </w:rPr>
      </w:pPr>
      <w:r w:rsidRPr="00565531">
        <w:rPr>
          <w:rFonts w:cs="Arial"/>
          <w:lang w:val="en-GB"/>
        </w:rPr>
        <w:t xml:space="preserve">Atradius DSB (2021a): </w:t>
      </w:r>
      <w:proofErr w:type="spellStart"/>
      <w:r w:rsidRPr="00565531">
        <w:rPr>
          <w:rFonts w:cs="Arial"/>
          <w:lang w:val="en-GB"/>
        </w:rPr>
        <w:t>Jaaroverzicht</w:t>
      </w:r>
      <w:proofErr w:type="spellEnd"/>
      <w:r w:rsidRPr="00565531">
        <w:rPr>
          <w:rFonts w:cs="Arial"/>
          <w:lang w:val="en-GB"/>
        </w:rPr>
        <w:t xml:space="preserve"> 2020. [in Dutch only] </w:t>
      </w:r>
      <w:r w:rsidRPr="00565531">
        <w:t>https://atradiusdutchstatebusiness.nl/nl/documenten/atradiusdsb_jaaroverzicht_2020.pdf</w:t>
      </w:r>
      <w:r w:rsidRPr="00565531">
        <w:rPr>
          <w:rFonts w:cs="Arial"/>
          <w:lang w:val="en-GB"/>
        </w:rPr>
        <w:t xml:space="preserve"> (accessed August 13, 2021)</w:t>
      </w:r>
    </w:p>
    <w:p w14:paraId="3FEBFDCA" w14:textId="77777777" w:rsidR="00552851" w:rsidRPr="00565531" w:rsidRDefault="00552851" w:rsidP="002923FE">
      <w:pPr>
        <w:spacing w:after="120"/>
        <w:ind w:left="567" w:hanging="567"/>
        <w:jc w:val="left"/>
        <w:rPr>
          <w:rFonts w:cs="Arial"/>
          <w:lang w:val="en-GB"/>
        </w:rPr>
      </w:pPr>
      <w:r w:rsidRPr="00565531">
        <w:rPr>
          <w:rFonts w:cs="Arial"/>
          <w:lang w:val="en-GB"/>
        </w:rPr>
        <w:t>Atradius DSB (2021</w:t>
      </w:r>
      <w:r w:rsidR="00E9279F" w:rsidRPr="00565531">
        <w:rPr>
          <w:rFonts w:cs="Arial"/>
          <w:lang w:val="en-GB"/>
        </w:rPr>
        <w:t>b</w:t>
      </w:r>
      <w:r w:rsidRPr="00565531">
        <w:rPr>
          <w:rFonts w:cs="Arial"/>
          <w:lang w:val="en-GB"/>
        </w:rPr>
        <w:t xml:space="preserve">): </w:t>
      </w:r>
      <w:r w:rsidR="002639CA" w:rsidRPr="00565531">
        <w:rPr>
          <w:rFonts w:cs="Arial"/>
          <w:lang w:val="en-GB"/>
        </w:rPr>
        <w:t xml:space="preserve">Products. </w:t>
      </w:r>
      <w:hyperlink r:id="rId26" w:history="1">
        <w:r w:rsidR="002639CA" w:rsidRPr="00565531">
          <w:rPr>
            <w:rStyle w:val="Hyperlink"/>
            <w:rFonts w:cs="Arial"/>
            <w:lang w:val="en-GB"/>
          </w:rPr>
          <w:t>https://atradiusdutchstatebusiness.nl/en/products/</w:t>
        </w:r>
      </w:hyperlink>
      <w:r w:rsidR="002639CA" w:rsidRPr="00565531">
        <w:rPr>
          <w:rFonts w:cs="Arial"/>
          <w:lang w:val="en-GB"/>
        </w:rPr>
        <w:t xml:space="preserve"> (accessed August 13, 2021)</w:t>
      </w:r>
    </w:p>
    <w:p w14:paraId="5B73F6D6" w14:textId="77777777" w:rsidR="00EC1402" w:rsidRPr="00565531" w:rsidRDefault="00EC1402" w:rsidP="002923FE">
      <w:pPr>
        <w:spacing w:after="120"/>
        <w:ind w:left="567" w:hanging="567"/>
        <w:jc w:val="left"/>
        <w:rPr>
          <w:rFonts w:cs="Arial"/>
          <w:lang w:val="en-GB"/>
        </w:rPr>
      </w:pPr>
      <w:r w:rsidRPr="00565531">
        <w:rPr>
          <w:rFonts w:cs="Arial"/>
          <w:lang w:val="en-GB"/>
        </w:rPr>
        <w:t>Atradius DSB (2021</w:t>
      </w:r>
      <w:r w:rsidR="00715BC8" w:rsidRPr="00565531">
        <w:rPr>
          <w:rFonts w:cs="Arial"/>
          <w:lang w:val="en-GB"/>
        </w:rPr>
        <w:t>c</w:t>
      </w:r>
      <w:r w:rsidRPr="00565531">
        <w:rPr>
          <w:rFonts w:cs="Arial"/>
          <w:lang w:val="en-GB"/>
        </w:rPr>
        <w:t>):</w:t>
      </w:r>
      <w:r w:rsidRPr="00565531">
        <w:t xml:space="preserve"> </w:t>
      </w:r>
      <w:r w:rsidRPr="00565531">
        <w:rPr>
          <w:rFonts w:cs="Arial"/>
          <w:lang w:val="en-GB"/>
        </w:rPr>
        <w:t xml:space="preserve">Environmental and social review. </w:t>
      </w:r>
      <w:hyperlink r:id="rId27" w:history="1">
        <w:r w:rsidRPr="00565531">
          <w:rPr>
            <w:rStyle w:val="Hyperlink"/>
            <w:rFonts w:cs="Arial"/>
            <w:lang w:val="en-GB"/>
          </w:rPr>
          <w:t>https://atradiusdutchstatebusiness.nl/en/article/environmental-and-social-review.html</w:t>
        </w:r>
      </w:hyperlink>
      <w:r w:rsidRPr="00565531">
        <w:rPr>
          <w:rFonts w:cs="Arial"/>
          <w:lang w:val="en-GB"/>
        </w:rPr>
        <w:t xml:space="preserve"> </w:t>
      </w:r>
      <w:r w:rsidR="00D16471" w:rsidRPr="00565531">
        <w:rPr>
          <w:rFonts w:cs="Arial"/>
          <w:lang w:val="en-GB"/>
        </w:rPr>
        <w:t>(accessed August 13, 2021)</w:t>
      </w:r>
    </w:p>
    <w:p w14:paraId="0AD16263" w14:textId="77777777" w:rsidR="00E136A1" w:rsidRPr="00565531" w:rsidRDefault="00E136A1" w:rsidP="002923FE">
      <w:pPr>
        <w:spacing w:after="120"/>
        <w:ind w:left="567" w:hanging="567"/>
        <w:jc w:val="left"/>
        <w:rPr>
          <w:rFonts w:cs="Arial"/>
          <w:lang w:val="en-GB"/>
        </w:rPr>
      </w:pPr>
      <w:r w:rsidRPr="00565531">
        <w:rPr>
          <w:rFonts w:cs="Arial"/>
          <w:lang w:val="en-GB"/>
        </w:rPr>
        <w:t>Atradius DSB (2021</w:t>
      </w:r>
      <w:r w:rsidR="00715BC8" w:rsidRPr="00565531">
        <w:rPr>
          <w:rFonts w:cs="Arial"/>
          <w:lang w:val="en-GB"/>
        </w:rPr>
        <w:t>d</w:t>
      </w:r>
      <w:r w:rsidRPr="00565531">
        <w:rPr>
          <w:rFonts w:cs="Arial"/>
          <w:lang w:val="en-GB"/>
        </w:rPr>
        <w:t>): Insurance Policies Issued</w:t>
      </w:r>
      <w:r w:rsidR="00B02970" w:rsidRPr="00565531">
        <w:rPr>
          <w:rFonts w:cs="Arial"/>
          <w:lang w:val="en-GB"/>
        </w:rPr>
        <w:t xml:space="preserve"> between 2014 and 2021</w:t>
      </w:r>
      <w:r w:rsidR="0040459D" w:rsidRPr="00565531">
        <w:rPr>
          <w:rFonts w:cs="Arial"/>
          <w:lang w:val="en-GB"/>
        </w:rPr>
        <w:t>.</w:t>
      </w:r>
      <w:r w:rsidRPr="00565531">
        <w:rPr>
          <w:rFonts w:cs="Arial"/>
          <w:lang w:val="en-GB"/>
        </w:rPr>
        <w:t xml:space="preserve"> </w:t>
      </w:r>
      <w:r w:rsidR="00C9487B" w:rsidRPr="00565531">
        <w:t xml:space="preserve">https://atradiusdutchstatebusiness.nl/en/article/policies-issued-by-atradius-dsb.html </w:t>
      </w:r>
      <w:r w:rsidR="0040459D" w:rsidRPr="00565531">
        <w:rPr>
          <w:rFonts w:cs="Arial"/>
          <w:lang w:val="en-GB"/>
        </w:rPr>
        <w:t>(accessed August 13, 2021)</w:t>
      </w:r>
    </w:p>
    <w:p w14:paraId="1DB81FFF" w14:textId="77777777" w:rsidR="00627724" w:rsidRPr="00565531" w:rsidRDefault="00627724" w:rsidP="002923FE">
      <w:pPr>
        <w:spacing w:after="120"/>
        <w:ind w:left="567" w:hanging="567"/>
        <w:jc w:val="left"/>
        <w:rPr>
          <w:rFonts w:cs="Arial"/>
          <w:lang w:val="en-GB"/>
        </w:rPr>
      </w:pPr>
      <w:proofErr w:type="spellStart"/>
      <w:r w:rsidRPr="00565531">
        <w:rPr>
          <w:rFonts w:cs="Arial"/>
          <w:lang w:val="en-GB"/>
        </w:rPr>
        <w:t>Averchenkova</w:t>
      </w:r>
      <w:proofErr w:type="spellEnd"/>
      <w:r w:rsidRPr="00565531">
        <w:rPr>
          <w:rFonts w:cs="Arial"/>
          <w:lang w:val="en-GB"/>
        </w:rPr>
        <w:t xml:space="preserve">, Alina; Bhattacharya, Amar; </w:t>
      </w:r>
      <w:proofErr w:type="spellStart"/>
      <w:r w:rsidRPr="00565531">
        <w:rPr>
          <w:rFonts w:cs="Arial"/>
          <w:lang w:val="en-GB"/>
        </w:rPr>
        <w:t>Calland</w:t>
      </w:r>
      <w:proofErr w:type="spellEnd"/>
      <w:r w:rsidRPr="00565531">
        <w:rPr>
          <w:rFonts w:cs="Arial"/>
          <w:lang w:val="en-GB"/>
        </w:rPr>
        <w:t xml:space="preserve">, Richard; González, Lorena; Martinez-Diaz, Leonardo; van </w:t>
      </w:r>
      <w:proofErr w:type="spellStart"/>
      <w:r w:rsidRPr="00565531">
        <w:rPr>
          <w:rFonts w:cs="Arial"/>
          <w:lang w:val="en-GB"/>
        </w:rPr>
        <w:t>Rooij</w:t>
      </w:r>
      <w:proofErr w:type="spellEnd"/>
      <w:r w:rsidRPr="00565531">
        <w:rPr>
          <w:rFonts w:cs="Arial"/>
          <w:lang w:val="en-GB"/>
        </w:rPr>
        <w:t>, Jerome (2020): Delivering on the 100 billion climate finance commitment and transforming climate finance</w:t>
      </w:r>
      <w:r w:rsidR="00B17A4A" w:rsidRPr="00565531">
        <w:rPr>
          <w:rFonts w:cs="Arial"/>
          <w:lang w:val="en-GB"/>
        </w:rPr>
        <w:t xml:space="preserve">, </w:t>
      </w:r>
      <w:hyperlink r:id="rId28" w:history="1">
        <w:r w:rsidR="00B17A4A" w:rsidRPr="00565531">
          <w:rPr>
            <w:rStyle w:val="Hyperlink"/>
            <w:rFonts w:cs="Arial"/>
            <w:lang w:val="en-GB"/>
          </w:rPr>
          <w:t>https://www.un.org/sites/un2.un.org/files/100_billion_climate_finance_report.pdf</w:t>
        </w:r>
      </w:hyperlink>
      <w:r w:rsidR="00B17A4A" w:rsidRPr="00565531">
        <w:rPr>
          <w:rFonts w:cs="Arial"/>
          <w:lang w:val="en-GB"/>
        </w:rPr>
        <w:t xml:space="preserve"> </w:t>
      </w:r>
      <w:bookmarkStart w:id="28" w:name="_Hlk79747024"/>
      <w:r w:rsidR="00B17A4A" w:rsidRPr="00565531">
        <w:rPr>
          <w:rFonts w:cs="Arial"/>
          <w:lang w:val="en-GB"/>
        </w:rPr>
        <w:t>(accessed June 24, 2021)</w:t>
      </w:r>
      <w:bookmarkEnd w:id="28"/>
    </w:p>
    <w:p w14:paraId="3BB03DAC" w14:textId="77777777" w:rsidR="002C470B" w:rsidRPr="00565531" w:rsidRDefault="002C470B" w:rsidP="002923FE">
      <w:pPr>
        <w:spacing w:after="120"/>
        <w:ind w:left="567" w:hanging="567"/>
        <w:jc w:val="left"/>
        <w:rPr>
          <w:rFonts w:cs="Arial"/>
          <w:lang w:val="en-GB"/>
        </w:rPr>
      </w:pPr>
      <w:r w:rsidRPr="00565531">
        <w:rPr>
          <w:rFonts w:cs="Arial"/>
          <w:lang w:val="fr-FR"/>
        </w:rPr>
        <w:t xml:space="preserve">Bpifrance (2020): Déclaration de performance extra-financière 2020. </w:t>
      </w:r>
      <w:r w:rsidRPr="00565531">
        <w:rPr>
          <w:rFonts w:cs="Arial"/>
          <w:lang w:val="en-GB"/>
        </w:rPr>
        <w:t xml:space="preserve">[in French only] </w:t>
      </w:r>
      <w:hyperlink r:id="rId29" w:history="1">
        <w:r w:rsidRPr="00565531">
          <w:rPr>
            <w:rStyle w:val="Hyperlink"/>
          </w:rPr>
          <w:t>https://www.bpifrance.fr/download/media-file/41983</w:t>
        </w:r>
      </w:hyperlink>
      <w:r w:rsidRPr="00565531">
        <w:t xml:space="preserve"> </w:t>
      </w:r>
      <w:r w:rsidRPr="00565531">
        <w:rPr>
          <w:rFonts w:cs="Arial"/>
          <w:lang w:val="en-GB"/>
        </w:rPr>
        <w:t>(accessed August 13, 2021)</w:t>
      </w:r>
    </w:p>
    <w:p w14:paraId="733AC6A0" w14:textId="77777777" w:rsidR="00772DE6" w:rsidRPr="00565531" w:rsidRDefault="00772DE6" w:rsidP="002923FE">
      <w:pPr>
        <w:spacing w:after="120"/>
        <w:ind w:left="567" w:hanging="567"/>
        <w:jc w:val="left"/>
        <w:rPr>
          <w:rFonts w:cs="Arial"/>
          <w:lang w:val="en-GB"/>
        </w:rPr>
      </w:pPr>
      <w:r w:rsidRPr="00565531">
        <w:rPr>
          <w:rFonts w:cs="Arial"/>
          <w:lang w:val="en-GB"/>
        </w:rPr>
        <w:t xml:space="preserve">Berne Union (2021): Export Credit &amp; Investment Insurance Industry Report 2020. </w:t>
      </w:r>
      <w:hyperlink r:id="rId30" w:history="1">
        <w:r w:rsidRPr="00565531">
          <w:rPr>
            <w:rStyle w:val="Hyperlink"/>
            <w:rFonts w:cs="Arial"/>
            <w:lang w:val="en-GB"/>
          </w:rPr>
          <w:t>https://bublob.blob.core.windows.net/assets/Images/Berne%20Union%20Export%20Credit%20Insurance%20in%202020.pdf</w:t>
        </w:r>
      </w:hyperlink>
      <w:r w:rsidRPr="00565531">
        <w:rPr>
          <w:rFonts w:cs="Arial"/>
          <w:lang w:val="en-GB"/>
        </w:rPr>
        <w:t xml:space="preserve"> (accessed August 13, 2021)</w:t>
      </w:r>
    </w:p>
    <w:p w14:paraId="07A50222" w14:textId="3D7D431E" w:rsidR="00E9045E" w:rsidRPr="00565531" w:rsidRDefault="00122000" w:rsidP="00931151">
      <w:pPr>
        <w:spacing w:after="120"/>
        <w:ind w:left="567" w:hanging="567"/>
        <w:jc w:val="left"/>
        <w:rPr>
          <w:rFonts w:cs="Arial"/>
          <w:lang w:val="en-GB"/>
        </w:rPr>
      </w:pPr>
      <w:r w:rsidRPr="00565531">
        <w:rPr>
          <w:rFonts w:cs="Arial"/>
          <w:lang w:val="en-GB"/>
        </w:rPr>
        <w:t xml:space="preserve">Both ENDS (2017): </w:t>
      </w:r>
      <w:r w:rsidR="00C55C18" w:rsidRPr="00565531">
        <w:rPr>
          <w:rFonts w:cs="Arial"/>
          <w:lang w:val="en-GB"/>
        </w:rPr>
        <w:t>Towards Paris Proof Export Support - Why and how the Dutch government must</w:t>
      </w:r>
      <w:r w:rsidR="00931151" w:rsidRPr="00565531">
        <w:rPr>
          <w:rFonts w:cs="Arial"/>
          <w:lang w:val="en-GB"/>
        </w:rPr>
        <w:t xml:space="preserve"> </w:t>
      </w:r>
      <w:r w:rsidR="00C55C18" w:rsidRPr="00565531">
        <w:rPr>
          <w:rFonts w:cs="Arial"/>
          <w:lang w:val="en-GB"/>
        </w:rPr>
        <w:t>exclude export credit support for fossil fuel.</w:t>
      </w:r>
      <w:r w:rsidR="00F7356E" w:rsidRPr="00565531">
        <w:rPr>
          <w:rFonts w:cs="Arial"/>
          <w:lang w:val="en-GB"/>
        </w:rPr>
        <w:t xml:space="preserve"> </w:t>
      </w:r>
      <w:r w:rsidR="00332EEC" w:rsidRPr="00565531">
        <w:rPr>
          <w:rFonts w:cs="Arial"/>
          <w:lang w:val="en-GB"/>
        </w:rPr>
        <w:t xml:space="preserve"> </w:t>
      </w:r>
      <w:hyperlink r:id="rId31" w:history="1">
        <w:r w:rsidR="00F7356E" w:rsidRPr="00565531">
          <w:rPr>
            <w:rStyle w:val="Hyperlink"/>
            <w:rFonts w:cs="Arial"/>
            <w:lang w:val="en-GB"/>
          </w:rPr>
          <w:t>https://www.bothends.org/uploaded_files/document/1Paris_Proof_Export_Support_June_2017.pdf</w:t>
        </w:r>
      </w:hyperlink>
      <w:r w:rsidR="00C55C18" w:rsidRPr="00565531">
        <w:rPr>
          <w:rFonts w:cs="Arial"/>
          <w:lang w:val="en-GB"/>
        </w:rPr>
        <w:t xml:space="preserve">  </w:t>
      </w:r>
      <w:r w:rsidR="00E9045E" w:rsidRPr="00565531">
        <w:rPr>
          <w:rFonts w:cs="Arial"/>
          <w:lang w:val="en-GB"/>
        </w:rPr>
        <w:t>(accessed August 13, 2021)</w:t>
      </w:r>
    </w:p>
    <w:p w14:paraId="7842829D" w14:textId="6D1C0AFD" w:rsidR="009071AC" w:rsidRPr="00565531" w:rsidRDefault="009071AC" w:rsidP="00931151">
      <w:pPr>
        <w:spacing w:after="120"/>
        <w:ind w:left="567" w:hanging="567"/>
        <w:jc w:val="left"/>
        <w:rPr>
          <w:rFonts w:cs="Arial"/>
          <w:lang w:val="en-GB"/>
        </w:rPr>
      </w:pPr>
      <w:r w:rsidRPr="00565531">
        <w:rPr>
          <w:rFonts w:cs="Arial"/>
          <w:lang w:val="en-GB"/>
        </w:rPr>
        <w:t>Both ENDS (2019): The fossil elephant in the room. How the Dutch government nullifies its own</w:t>
      </w:r>
      <w:r w:rsidR="00931151" w:rsidRPr="00565531">
        <w:rPr>
          <w:rFonts w:cs="Arial"/>
          <w:lang w:val="en-GB"/>
        </w:rPr>
        <w:t xml:space="preserve"> </w:t>
      </w:r>
      <w:r w:rsidRPr="00565531">
        <w:rPr>
          <w:rFonts w:cs="Arial"/>
          <w:lang w:val="en-GB"/>
        </w:rPr>
        <w:t>international climate ambition by not including its export credit agency in a fossil fuel phaseout</w:t>
      </w:r>
      <w:r w:rsidR="00931151" w:rsidRPr="00565531">
        <w:rPr>
          <w:rFonts w:cs="Arial"/>
          <w:lang w:val="en-GB"/>
        </w:rPr>
        <w:t xml:space="preserve"> </w:t>
      </w:r>
      <w:r w:rsidRPr="00565531">
        <w:rPr>
          <w:rFonts w:cs="Arial"/>
          <w:lang w:val="en-GB"/>
        </w:rPr>
        <w:t xml:space="preserve">pathway. </w:t>
      </w:r>
      <w:hyperlink r:id="rId32" w:history="1">
        <w:r w:rsidR="00F1663A" w:rsidRPr="00565531">
          <w:rPr>
            <w:rStyle w:val="Hyperlink"/>
            <w:rFonts w:cs="Arial"/>
            <w:lang w:val="en-GB"/>
          </w:rPr>
          <w:t>https://www.bothends.org/uploaded_files/document/The_fossil_elephant_in_the_room_web.pdf</w:t>
        </w:r>
      </w:hyperlink>
      <w:r w:rsidR="00F1663A" w:rsidRPr="00565531">
        <w:rPr>
          <w:rFonts w:cs="Arial"/>
          <w:lang w:val="en-GB"/>
        </w:rPr>
        <w:t xml:space="preserve"> </w:t>
      </w:r>
      <w:r w:rsidRPr="00565531">
        <w:rPr>
          <w:rFonts w:cs="Arial"/>
          <w:lang w:val="en-GB"/>
        </w:rPr>
        <w:t>(accessed August 13, 2021)</w:t>
      </w:r>
    </w:p>
    <w:p w14:paraId="2A99CA88" w14:textId="77777777" w:rsidR="00627724" w:rsidRPr="00565531" w:rsidRDefault="00627724" w:rsidP="002923FE">
      <w:pPr>
        <w:spacing w:after="120"/>
        <w:ind w:left="567" w:hanging="567"/>
        <w:jc w:val="left"/>
        <w:rPr>
          <w:rFonts w:cs="Arial"/>
          <w:lang w:val="en-GB"/>
        </w:rPr>
      </w:pPr>
      <w:r w:rsidRPr="00565531">
        <w:rPr>
          <w:rFonts w:cs="Arial"/>
          <w:lang w:val="en-GB"/>
        </w:rPr>
        <w:t>Both</w:t>
      </w:r>
      <w:r w:rsidR="003F40DC" w:rsidRPr="00565531">
        <w:rPr>
          <w:rFonts w:cs="Arial"/>
          <w:lang w:val="en-GB"/>
        </w:rPr>
        <w:t xml:space="preserve"> ENDS </w:t>
      </w:r>
      <w:r w:rsidRPr="00565531">
        <w:rPr>
          <w:rFonts w:cs="Arial"/>
          <w:lang w:val="en-GB"/>
        </w:rPr>
        <w:t>(2021</w:t>
      </w:r>
      <w:r w:rsidR="0066017A" w:rsidRPr="00565531">
        <w:rPr>
          <w:rFonts w:cs="Arial"/>
          <w:lang w:val="en-GB"/>
        </w:rPr>
        <w:t>a</w:t>
      </w:r>
      <w:r w:rsidRPr="00565531">
        <w:rPr>
          <w:rFonts w:cs="Arial"/>
          <w:lang w:val="en-GB"/>
        </w:rPr>
        <w:t>): Export finance leadership coalition fails to lead, Press release, April 14, 2021,</w:t>
      </w:r>
      <w:r w:rsidR="003B0B93" w:rsidRPr="00565531">
        <w:rPr>
          <w:rFonts w:cs="Arial"/>
          <w:lang w:val="en-GB"/>
        </w:rPr>
        <w:t xml:space="preserve"> </w:t>
      </w:r>
      <w:hyperlink r:id="rId33" w:history="1">
        <w:r w:rsidR="003B0B93" w:rsidRPr="00565531">
          <w:rPr>
            <w:rStyle w:val="Hyperlink"/>
            <w:rFonts w:cs="Arial"/>
            <w:lang w:val="en-GB"/>
          </w:rPr>
          <w:t>https://www.bothends.org/uploaded_files/inlineitem/210414_Statement_on_Export_Finance_for_Future_FINAL.pdf</w:t>
        </w:r>
      </w:hyperlink>
      <w:r w:rsidRPr="00565531">
        <w:rPr>
          <w:rFonts w:cs="Arial"/>
          <w:lang w:val="en-GB"/>
        </w:rPr>
        <w:t xml:space="preserve"> (accessed June 7, 2021)</w:t>
      </w:r>
    </w:p>
    <w:p w14:paraId="68FB82DE" w14:textId="77777777" w:rsidR="002A399D" w:rsidRPr="00565531" w:rsidRDefault="002A399D" w:rsidP="002923FE">
      <w:pPr>
        <w:spacing w:after="120"/>
        <w:ind w:left="426" w:hanging="426"/>
        <w:jc w:val="left"/>
        <w:rPr>
          <w:rFonts w:cs="Arial"/>
          <w:lang w:val="en-GB"/>
        </w:rPr>
      </w:pPr>
      <w:r w:rsidRPr="00565531">
        <w:rPr>
          <w:rFonts w:cs="Arial"/>
          <w:lang w:val="en-GB"/>
        </w:rPr>
        <w:t>Both ENDS (2021</w:t>
      </w:r>
      <w:r w:rsidR="0066017A" w:rsidRPr="00565531">
        <w:rPr>
          <w:rFonts w:cs="Arial"/>
          <w:lang w:val="en-GB"/>
        </w:rPr>
        <w:t>b</w:t>
      </w:r>
      <w:r w:rsidRPr="00565531">
        <w:rPr>
          <w:rFonts w:cs="Arial"/>
          <w:lang w:val="en-GB"/>
        </w:rPr>
        <w:t xml:space="preserve">): Despite Violence, 900 Million Euros in Dutch Export Support to Van Oord in Mozambique. </w:t>
      </w:r>
      <w:hyperlink r:id="rId34" w:history="1">
        <w:r w:rsidR="008E1155" w:rsidRPr="00565531">
          <w:rPr>
            <w:rStyle w:val="Hyperlink"/>
            <w:rFonts w:cs="Arial"/>
            <w:lang w:val="en-GB"/>
          </w:rPr>
          <w:t>https://www.bothends.org/en/Whats-new/Press/Despite-violence-900-million-euros-in-Dutch-export-support-to-Van-Oord-in-Mozambique/</w:t>
        </w:r>
      </w:hyperlink>
      <w:r w:rsidR="008E1155" w:rsidRPr="00565531">
        <w:rPr>
          <w:rFonts w:cs="Arial"/>
          <w:lang w:val="en-GB"/>
        </w:rPr>
        <w:t xml:space="preserve"> </w:t>
      </w:r>
    </w:p>
    <w:p w14:paraId="13D87916" w14:textId="77777777" w:rsidR="00A2530A" w:rsidRPr="00565531" w:rsidRDefault="00A2530A" w:rsidP="002923FE">
      <w:pPr>
        <w:spacing w:after="120"/>
        <w:ind w:left="426" w:hanging="426"/>
        <w:jc w:val="left"/>
        <w:rPr>
          <w:rFonts w:cs="Arial"/>
          <w:lang w:val="en-GB"/>
        </w:rPr>
      </w:pPr>
      <w:r w:rsidRPr="00565531">
        <w:rPr>
          <w:rFonts w:cs="Arial"/>
          <w:lang w:val="en-GB"/>
        </w:rPr>
        <w:t xml:space="preserve">Bright Blue (2021): Toward Green Export Finance? Investigating the views of UK exporting firms towards UKEF. </w:t>
      </w:r>
      <w:hyperlink r:id="rId35" w:history="1">
        <w:r w:rsidRPr="00565531">
          <w:rPr>
            <w:rStyle w:val="Hyperlink"/>
            <w:rFonts w:cs="Arial"/>
            <w:lang w:val="en-GB"/>
          </w:rPr>
          <w:t>http://www.brightblue.org.uk/toward-green-export-finance/</w:t>
        </w:r>
      </w:hyperlink>
      <w:r w:rsidRPr="00565531">
        <w:rPr>
          <w:rFonts w:cs="Arial"/>
          <w:lang w:val="en-GB"/>
        </w:rPr>
        <w:t xml:space="preserve"> (accessed August 13, 2021) </w:t>
      </w:r>
    </w:p>
    <w:p w14:paraId="72A9ECD3" w14:textId="77777777" w:rsidR="00F65A22" w:rsidRPr="00565531" w:rsidRDefault="00F65A22" w:rsidP="00620202">
      <w:pPr>
        <w:spacing w:after="120"/>
        <w:ind w:left="426" w:hanging="426"/>
        <w:jc w:val="left"/>
        <w:rPr>
          <w:rFonts w:cs="Arial"/>
          <w:lang w:val="en-GB"/>
        </w:rPr>
      </w:pPr>
      <w:r w:rsidRPr="00565531">
        <w:rPr>
          <w:rFonts w:cs="Arial"/>
          <w:lang w:val="en-GB"/>
        </w:rPr>
        <w:t>Carbon Pulse (2021):</w:t>
      </w:r>
      <w:r w:rsidRPr="00565531">
        <w:t xml:space="preserve"> </w:t>
      </w:r>
      <w:r w:rsidRPr="00565531">
        <w:rPr>
          <w:rFonts w:cs="Arial"/>
          <w:lang w:val="en-GB"/>
        </w:rPr>
        <w:t xml:space="preserve">China to end overseas investment in coal plants in major shift. </w:t>
      </w:r>
      <w:hyperlink r:id="rId36" w:history="1">
        <w:r w:rsidRPr="00565531">
          <w:rPr>
            <w:rStyle w:val="Hyperlink"/>
            <w:rFonts w:cs="Arial"/>
            <w:lang w:val="en-GB"/>
          </w:rPr>
          <w:t>https://carbon-pulse.com/139185/</w:t>
        </w:r>
      </w:hyperlink>
      <w:r w:rsidRPr="00565531">
        <w:rPr>
          <w:rFonts w:cs="Arial"/>
          <w:lang w:val="en-GB"/>
        </w:rPr>
        <w:t xml:space="preserve"> (accessed September 22</w:t>
      </w:r>
      <w:r w:rsidRPr="00565531">
        <w:rPr>
          <w:rFonts w:cs="Arial"/>
          <w:vertAlign w:val="superscript"/>
          <w:lang w:val="en-GB"/>
        </w:rPr>
        <w:t>nd</w:t>
      </w:r>
      <w:r w:rsidRPr="00565531">
        <w:rPr>
          <w:rFonts w:cs="Arial"/>
          <w:lang w:val="en-GB"/>
        </w:rPr>
        <w:t xml:space="preserve">, 2021) </w:t>
      </w:r>
    </w:p>
    <w:p w14:paraId="7BEF3E74" w14:textId="77777777" w:rsidR="00481761" w:rsidRPr="00565531" w:rsidRDefault="00481761" w:rsidP="00620202">
      <w:pPr>
        <w:spacing w:after="120"/>
        <w:ind w:left="426" w:hanging="426"/>
        <w:jc w:val="left"/>
        <w:rPr>
          <w:rFonts w:cs="Arial"/>
          <w:lang w:val="en-GB"/>
        </w:rPr>
      </w:pPr>
      <w:r w:rsidRPr="00565531">
        <w:rPr>
          <w:rFonts w:cs="Arial"/>
          <w:lang w:val="en-GB"/>
        </w:rPr>
        <w:t xml:space="preserve">CEE </w:t>
      </w:r>
      <w:proofErr w:type="spellStart"/>
      <w:r w:rsidRPr="00565531">
        <w:rPr>
          <w:rFonts w:cs="Arial"/>
          <w:lang w:val="en-GB"/>
        </w:rPr>
        <w:t>Bankwatch</w:t>
      </w:r>
      <w:proofErr w:type="spellEnd"/>
      <w:r w:rsidRPr="00565531">
        <w:rPr>
          <w:rFonts w:cs="Arial"/>
          <w:lang w:val="en-GB"/>
        </w:rPr>
        <w:t xml:space="preserve"> et al. (2021): For a science-based taxonomy – The case of hydrogen. </w:t>
      </w:r>
      <w:hyperlink r:id="rId37" w:history="1">
        <w:r w:rsidRPr="00565531">
          <w:rPr>
            <w:rStyle w:val="Hyperlink"/>
            <w:rFonts w:cs="Arial"/>
            <w:lang w:val="en-GB"/>
          </w:rPr>
          <w:t>https://ecostandard.org/wp-content/uploads/2021/03/2021-03-22-NGO-Letter-on-Hydrogen-EU-Taxonomy.pdf</w:t>
        </w:r>
      </w:hyperlink>
      <w:r w:rsidRPr="00565531">
        <w:rPr>
          <w:rFonts w:cs="Arial"/>
          <w:lang w:val="en-GB"/>
        </w:rPr>
        <w:t xml:space="preserve"> (accessed September 12, 2021)</w:t>
      </w:r>
    </w:p>
    <w:p w14:paraId="243BE63F" w14:textId="77777777" w:rsidR="00B529B2" w:rsidRPr="00565531" w:rsidRDefault="00B529B2" w:rsidP="002923FE">
      <w:pPr>
        <w:spacing w:after="120"/>
        <w:ind w:left="426" w:hanging="426"/>
        <w:jc w:val="left"/>
        <w:rPr>
          <w:rFonts w:cs="Arial"/>
          <w:lang w:val="en-GB"/>
        </w:rPr>
      </w:pPr>
      <w:r w:rsidRPr="00565531">
        <w:rPr>
          <w:rFonts w:cs="Arial"/>
          <w:lang w:val="en-GB"/>
        </w:rPr>
        <w:t xml:space="preserve">Cicero (n.d.): Shades of Green – Fact sheet. </w:t>
      </w:r>
      <w:hyperlink r:id="rId38" w:history="1">
        <w:r w:rsidRPr="00565531">
          <w:rPr>
            <w:rStyle w:val="Hyperlink"/>
            <w:rFonts w:cs="Arial"/>
            <w:lang w:val="en-GB"/>
          </w:rPr>
          <w:t>https://static1.squarespace.com/static/5bc5b31a7788975c96763ea7/t/60b75a72af17a60e035fd4d6/1622628980614/CICERO_SHadesofGreen_factsheet_v5.pdf</w:t>
        </w:r>
      </w:hyperlink>
      <w:r w:rsidRPr="00565531">
        <w:rPr>
          <w:rFonts w:cs="Arial"/>
          <w:lang w:val="en-GB"/>
        </w:rPr>
        <w:t xml:space="preserve"> (accessed August 13, 2021)</w:t>
      </w:r>
    </w:p>
    <w:p w14:paraId="28FCCD57" w14:textId="77777777" w:rsidR="00CF6217" w:rsidRPr="00565531" w:rsidRDefault="00CF6217" w:rsidP="002923FE">
      <w:pPr>
        <w:spacing w:after="120"/>
        <w:ind w:left="426" w:hanging="426"/>
        <w:jc w:val="left"/>
        <w:rPr>
          <w:rFonts w:cs="Arial"/>
          <w:lang w:val="en-GB"/>
        </w:rPr>
      </w:pPr>
      <w:r w:rsidRPr="00565531">
        <w:rPr>
          <w:rFonts w:cs="Arial"/>
          <w:lang w:val="en-GB"/>
        </w:rPr>
        <w:t xml:space="preserve">Club de Paris (2021): Definition of debt treated. </w:t>
      </w:r>
      <w:hyperlink r:id="rId39" w:history="1">
        <w:r w:rsidRPr="00565531">
          <w:rPr>
            <w:rStyle w:val="Hyperlink"/>
            <w:rFonts w:cs="Arial"/>
            <w:lang w:val="en-GB"/>
          </w:rPr>
          <w:t>https://clubdeparis.org/en/communications/page/definition-of-debt-treated</w:t>
        </w:r>
      </w:hyperlink>
      <w:r w:rsidRPr="00565531">
        <w:rPr>
          <w:rFonts w:cs="Arial"/>
          <w:lang w:val="en-GB"/>
        </w:rPr>
        <w:t xml:space="preserve"> (accessed August 13, 2021)</w:t>
      </w:r>
    </w:p>
    <w:p w14:paraId="055E3CE7" w14:textId="77777777" w:rsidR="003C4C5E" w:rsidRPr="00565531" w:rsidRDefault="003C4C5E" w:rsidP="002923FE">
      <w:pPr>
        <w:spacing w:after="120"/>
        <w:ind w:left="426" w:hanging="426"/>
        <w:jc w:val="left"/>
        <w:rPr>
          <w:rFonts w:cs="Arial"/>
          <w:lang w:val="en-GB"/>
        </w:rPr>
      </w:pPr>
      <w:r w:rsidRPr="00565531">
        <w:rPr>
          <w:rFonts w:cs="Arial"/>
          <w:lang w:val="en-GB"/>
        </w:rPr>
        <w:t xml:space="preserve">Cook, Kate; Viñuales, Jorge E. (2021): International obligations governing the activities of export credit agencies in connection with the continued financing of fossil fuel-related projects and </w:t>
      </w:r>
      <w:r w:rsidRPr="00565531">
        <w:rPr>
          <w:rFonts w:cs="Arial"/>
          <w:lang w:val="en-GB"/>
        </w:rPr>
        <w:lastRenderedPageBreak/>
        <w:t xml:space="preserve">activities, </w:t>
      </w:r>
      <w:hyperlink r:id="rId40" w:history="1">
        <w:r w:rsidRPr="00565531">
          <w:rPr>
            <w:rStyle w:val="Hyperlink"/>
            <w:rFonts w:cs="Arial"/>
            <w:lang w:val="en-GB"/>
          </w:rPr>
          <w:t>http://priceofoil.org/content/uploads/2021/05/Legal-opinion-K.-Cook-_-J.-Vinuales-FINAL.pdf</w:t>
        </w:r>
      </w:hyperlink>
      <w:r w:rsidRPr="00565531">
        <w:rPr>
          <w:rFonts w:cs="Arial"/>
          <w:lang w:val="en-GB"/>
        </w:rPr>
        <w:t xml:space="preserve"> (accessed June 14, 2021)</w:t>
      </w:r>
    </w:p>
    <w:p w14:paraId="0B532989" w14:textId="70B5C1C5" w:rsidR="004B5F95" w:rsidRPr="00565531" w:rsidRDefault="004B5F95" w:rsidP="004B5F95">
      <w:pPr>
        <w:spacing w:after="120"/>
        <w:ind w:left="567" w:hanging="567"/>
        <w:jc w:val="left"/>
        <w:rPr>
          <w:rFonts w:cs="Arial"/>
        </w:rPr>
      </w:pPr>
      <w:r w:rsidRPr="00565531">
        <w:rPr>
          <w:rFonts w:cs="Arial"/>
        </w:rPr>
        <w:t>Darouich, Laila; Censkowsky, Philipp; Shishlov, Igor (2021): Paris Alignment of Export Credit Agencies: the case of Euler Hermes (Germany)</w:t>
      </w:r>
      <w:r w:rsidR="00931151" w:rsidRPr="00565531">
        <w:rPr>
          <w:rFonts w:cs="Arial"/>
        </w:rPr>
        <w:t xml:space="preserve">, </w:t>
      </w:r>
      <w:r w:rsidRPr="00565531">
        <w:rPr>
          <w:rFonts w:cs="Arial"/>
        </w:rPr>
        <w:t xml:space="preserve">Perspectives Climate Research, Freiburg </w:t>
      </w:r>
    </w:p>
    <w:p w14:paraId="106D286A" w14:textId="77777777" w:rsidR="004B5F95" w:rsidRPr="00565531" w:rsidRDefault="004B5F95" w:rsidP="004B5F95">
      <w:pPr>
        <w:spacing w:after="120"/>
        <w:ind w:left="567" w:hanging="567"/>
        <w:jc w:val="left"/>
        <w:rPr>
          <w:rStyle w:val="Hyperlink"/>
          <w:rFonts w:cs="Arial"/>
        </w:rPr>
      </w:pPr>
      <w:r w:rsidRPr="00565531">
        <w:rPr>
          <w:rFonts w:cs="Arial"/>
        </w:rPr>
        <w:t xml:space="preserve">DeAngelis, Kate; Tucker, Bronwen (2020): Still digging: G20 governments continue to finance the climate crisis, </w:t>
      </w:r>
      <w:hyperlink r:id="rId41" w:history="1">
        <w:r w:rsidRPr="00565531">
          <w:rPr>
            <w:rStyle w:val="Hyperlink"/>
            <w:rFonts w:cs="Arial"/>
          </w:rPr>
          <w:t>http://priceofoil.org/content/uploads/2020/05/G20-Still-Digging.pdf</w:t>
        </w:r>
      </w:hyperlink>
      <w:r w:rsidRPr="00565531">
        <w:rPr>
          <w:rFonts w:cs="Arial"/>
        </w:rPr>
        <w:t xml:space="preserve"> (accessed June 24, 2021)</w:t>
      </w:r>
    </w:p>
    <w:p w14:paraId="46B43476" w14:textId="77777777" w:rsidR="004B5F95" w:rsidRPr="00565531" w:rsidRDefault="004B5F95" w:rsidP="004B5F95">
      <w:pPr>
        <w:spacing w:after="120"/>
        <w:ind w:left="567" w:hanging="567"/>
        <w:jc w:val="left"/>
        <w:rPr>
          <w:rStyle w:val="Hyperlink"/>
          <w:rFonts w:cs="Arial"/>
          <w:color w:val="auto"/>
          <w:u w:val="none"/>
          <w:lang w:val="en-GB"/>
        </w:rPr>
      </w:pPr>
      <w:r w:rsidRPr="00565531">
        <w:rPr>
          <w:rFonts w:cs="Arial"/>
          <w:lang w:val="en-GB"/>
        </w:rPr>
        <w:t xml:space="preserve">E3G and Oil Change International (2021): Briefing for policy makers: an agenda for greening export credit agencies in 2021, Policy brief, Washington, DC </w:t>
      </w:r>
      <w:hyperlink r:id="rId42" w:history="1">
        <w:r w:rsidRPr="00565531">
          <w:rPr>
            <w:rStyle w:val="Hyperlink"/>
            <w:rFonts w:cs="Arial"/>
            <w:lang w:val="en-GB"/>
          </w:rPr>
          <w:t>http://priceofoil.org/content/uploads/2021/04/Briefing-for-Policy-Makers_-Greening-Export-Credit-Agencies.pdf</w:t>
        </w:r>
      </w:hyperlink>
      <w:r w:rsidRPr="00565531">
        <w:rPr>
          <w:rFonts w:cs="Arial"/>
          <w:lang w:val="en-GB"/>
        </w:rPr>
        <w:t xml:space="preserve"> (accessed August 1, 2021)</w:t>
      </w:r>
    </w:p>
    <w:p w14:paraId="0A4D776D" w14:textId="77777777" w:rsidR="004B5F95" w:rsidRPr="00565531" w:rsidRDefault="004B5F95" w:rsidP="004B5F95">
      <w:pPr>
        <w:spacing w:after="120"/>
        <w:ind w:left="567" w:hanging="567"/>
        <w:jc w:val="left"/>
        <w:rPr>
          <w:rFonts w:cs="Arial"/>
          <w:lang w:val="en-GB"/>
        </w:rPr>
      </w:pPr>
      <w:r w:rsidRPr="00565531">
        <w:rPr>
          <w:rFonts w:cs="Arial"/>
          <w:lang w:val="en-GB"/>
        </w:rPr>
        <w:t xml:space="preserve">European Commission (2020): EU and 10 other members suspend participation in negotiations in the International Working Group on Export Credits. </w:t>
      </w:r>
      <w:hyperlink r:id="rId43" w:history="1">
        <w:r w:rsidRPr="00565531">
          <w:rPr>
            <w:rStyle w:val="Hyperlink"/>
            <w:rFonts w:cs="Arial"/>
            <w:lang w:val="en-GB"/>
          </w:rPr>
          <w:t>https://trade.ec.europa.eu/doclib/press/index.cfm?id=2214</w:t>
        </w:r>
      </w:hyperlink>
      <w:r w:rsidRPr="00565531">
        <w:rPr>
          <w:rFonts w:cs="Arial"/>
          <w:lang w:val="en-GB"/>
        </w:rPr>
        <w:t xml:space="preserve"> (accessed August 13, 2021)</w:t>
      </w:r>
    </w:p>
    <w:p w14:paraId="58EB3AEE" w14:textId="77777777" w:rsidR="004B5F95" w:rsidRPr="00565531" w:rsidRDefault="004B5F95" w:rsidP="004B5F95">
      <w:pPr>
        <w:spacing w:after="120"/>
        <w:ind w:left="567" w:hanging="567"/>
        <w:jc w:val="left"/>
        <w:rPr>
          <w:rFonts w:cs="Arial"/>
          <w:lang w:val="en-GB"/>
        </w:rPr>
      </w:pPr>
      <w:r w:rsidRPr="00565531">
        <w:rPr>
          <w:rFonts w:cs="Arial"/>
          <w:lang w:val="en-GB"/>
        </w:rPr>
        <w:t xml:space="preserve">EKN (2020): An export finance system that contributes to the climate transition. </w:t>
      </w:r>
      <w:r w:rsidRPr="00565531">
        <w:rPr>
          <w:rFonts w:cs="Arial"/>
          <w:i/>
          <w:lang w:val="en-GB"/>
        </w:rPr>
        <w:t xml:space="preserve">Summary of the Report. </w:t>
      </w:r>
      <w:hyperlink r:id="rId44" w:history="1">
        <w:r w:rsidRPr="00565531">
          <w:rPr>
            <w:rStyle w:val="Hyperlink"/>
            <w:rFonts w:cs="Arial"/>
            <w:lang w:val="en-GB"/>
          </w:rPr>
          <w:t>https://www.ekn.se/globalassets/dokument/rapporter/ovriga-rapporter/summary-an-export-finance-system-that-contributes-to-the-climate-transition.pdf/</w:t>
        </w:r>
      </w:hyperlink>
      <w:r w:rsidRPr="00565531">
        <w:rPr>
          <w:rFonts w:cs="Arial"/>
          <w:i/>
          <w:lang w:val="en-GB"/>
        </w:rPr>
        <w:t xml:space="preserve"> </w:t>
      </w:r>
      <w:r w:rsidRPr="00565531">
        <w:rPr>
          <w:rFonts w:cs="Arial"/>
          <w:lang w:val="en-GB"/>
        </w:rPr>
        <w:t>(accessed August 13, 2021)</w:t>
      </w:r>
    </w:p>
    <w:p w14:paraId="5340AE5A" w14:textId="77777777" w:rsidR="004B5F95" w:rsidRPr="00565531" w:rsidRDefault="004B5F95" w:rsidP="004B5F95">
      <w:pPr>
        <w:spacing w:after="120"/>
        <w:ind w:left="567" w:hanging="567"/>
        <w:jc w:val="left"/>
        <w:rPr>
          <w:rFonts w:cs="Arial"/>
          <w:lang w:val="en-GB"/>
        </w:rPr>
      </w:pPr>
      <w:r w:rsidRPr="00565531">
        <w:rPr>
          <w:rFonts w:cs="Arial"/>
          <w:lang w:val="en-GB"/>
        </w:rPr>
        <w:t xml:space="preserve">FMO (2021): Position Statement on Phasing Out Fossil Fuels in Direct Investments. </w:t>
      </w:r>
      <w:hyperlink r:id="rId45" w:history="1">
        <w:r w:rsidRPr="00565531">
          <w:rPr>
            <w:rStyle w:val="Hyperlink"/>
            <w:rFonts w:cs="Arial"/>
            <w:lang w:val="en-GB"/>
          </w:rPr>
          <w:t>https://www.fmo.nl/l/en/library/download/urn:uuid:6ca1d6f7-56ca-437d-adb9-a16c4dc55f3e/position+statement+on+phasing+out+fosil+fuels.pdf</w:t>
        </w:r>
      </w:hyperlink>
      <w:r w:rsidRPr="00565531">
        <w:rPr>
          <w:rFonts w:cs="Arial"/>
          <w:lang w:val="en-GB"/>
        </w:rPr>
        <w:t xml:space="preserve"> </w:t>
      </w:r>
      <w:r w:rsidRPr="00565531">
        <w:rPr>
          <w:rFonts w:cs="Arial"/>
          <w:lang w:val="en-GB"/>
        </w:rPr>
        <w:cr/>
        <w:t>(accessed August 1, 2021)</w:t>
      </w:r>
    </w:p>
    <w:p w14:paraId="736D9021" w14:textId="77777777" w:rsidR="004B5F95" w:rsidRPr="00565531" w:rsidRDefault="004B5F95" w:rsidP="004B5F95">
      <w:pPr>
        <w:spacing w:after="120"/>
        <w:ind w:left="567" w:hanging="567"/>
        <w:jc w:val="left"/>
        <w:rPr>
          <w:rFonts w:cs="Arial"/>
          <w:lang w:val="en-GB"/>
        </w:rPr>
      </w:pPr>
      <w:r w:rsidRPr="00565531">
        <w:rPr>
          <w:rFonts w:cs="Arial"/>
          <w:lang w:val="en-GB"/>
        </w:rPr>
        <w:t xml:space="preserve">Government of the Netherlands (2014): Press announcement by Prime Minister Rutte at the Rijksmuseum, Amsterdam. </w:t>
      </w:r>
      <w:hyperlink r:id="rId46" w:history="1">
        <w:r w:rsidRPr="00565531">
          <w:rPr>
            <w:rStyle w:val="Hyperlink"/>
            <w:rFonts w:cs="Arial"/>
            <w:lang w:val="en-GB"/>
          </w:rPr>
          <w:t>https://www.government.nl/documents/speeches/2014/03/24/press-announcement-by-rutte-in-rijksmuseum-amsterdam</w:t>
        </w:r>
      </w:hyperlink>
      <w:r w:rsidRPr="00565531">
        <w:rPr>
          <w:rFonts w:cs="Arial"/>
          <w:lang w:val="en-GB"/>
        </w:rPr>
        <w:t xml:space="preserve"> (accessed August 1, 2021)</w:t>
      </w:r>
    </w:p>
    <w:p w14:paraId="5E5A5E1D" w14:textId="07D78939" w:rsidR="005C476E" w:rsidRPr="00565531" w:rsidRDefault="004B5F95" w:rsidP="00931151">
      <w:pPr>
        <w:spacing w:after="120"/>
        <w:ind w:left="567" w:hanging="567"/>
        <w:jc w:val="left"/>
        <w:rPr>
          <w:rFonts w:cs="Arial"/>
          <w:lang w:val="nl-NL"/>
        </w:rPr>
      </w:pPr>
      <w:r w:rsidRPr="00565531">
        <w:rPr>
          <w:rFonts w:cs="Arial"/>
          <w:lang w:val="nl-NL"/>
        </w:rPr>
        <w:t xml:space="preserve">Government of the Netherlands (2016): Beleidsdoorlichting artikel 5 van begroting IX: Exportkredietverzekeringen, -garanties en Investeringsverzekering (p. 51) [in Dutch only] </w:t>
      </w:r>
      <w:hyperlink r:id="rId47" w:history="1">
        <w:r w:rsidRPr="00565531">
          <w:rPr>
            <w:rStyle w:val="Hyperlink"/>
            <w:rFonts w:cs="Arial"/>
            <w:lang w:val="nl-NL"/>
          </w:rPr>
          <w:t>https://www.rijksbegroting.nl/system/files/251/ix08-2016-finbeleidsdoorlichting-exportkredietverzekeringen.pdf</w:t>
        </w:r>
      </w:hyperlink>
      <w:r w:rsidRPr="00565531">
        <w:rPr>
          <w:rFonts w:cs="Arial"/>
          <w:lang w:val="nl-NL"/>
        </w:rPr>
        <w:t xml:space="preserve"> (accessed August 1, 2021)</w:t>
      </w:r>
    </w:p>
    <w:p w14:paraId="0C03E458" w14:textId="03D35B18" w:rsidR="004B5F95" w:rsidRPr="00565531" w:rsidRDefault="004B5F95" w:rsidP="004B5F95">
      <w:pPr>
        <w:spacing w:after="120"/>
        <w:ind w:left="567" w:hanging="567"/>
        <w:jc w:val="left"/>
        <w:rPr>
          <w:rFonts w:cs="Arial"/>
          <w:lang w:val="en-GB"/>
        </w:rPr>
      </w:pPr>
      <w:r w:rsidRPr="00565531">
        <w:rPr>
          <w:rFonts w:cs="Arial"/>
          <w:lang w:val="en-GB"/>
        </w:rPr>
        <w:t xml:space="preserve">Government of the Netherlands (2020): Monitor </w:t>
      </w:r>
      <w:proofErr w:type="spellStart"/>
      <w:r w:rsidRPr="00565531">
        <w:rPr>
          <w:rFonts w:cs="Arial"/>
          <w:lang w:val="en-GB"/>
        </w:rPr>
        <w:t>exportkredietverzekeringen</w:t>
      </w:r>
      <w:proofErr w:type="spellEnd"/>
      <w:r w:rsidRPr="00565531">
        <w:rPr>
          <w:rFonts w:cs="Arial"/>
          <w:lang w:val="en-GB"/>
        </w:rPr>
        <w:t xml:space="preserve"> 2019 [in Dutch only] </w:t>
      </w:r>
      <w:hyperlink r:id="rId48" w:history="1">
        <w:r w:rsidRPr="00565531">
          <w:rPr>
            <w:rStyle w:val="Hyperlink"/>
            <w:rFonts w:cs="Arial"/>
            <w:lang w:val="en-GB"/>
          </w:rPr>
          <w:t>https://www.rijksoverheid.nl/binaries/rijksoverheid/documenten/kamerstukken/2020/10/02/monitor-exportkredietverzekeringen-2019/monitor-exportkredietverzekeringen-2019.pdf</w:t>
        </w:r>
      </w:hyperlink>
      <w:r w:rsidRPr="00565531">
        <w:rPr>
          <w:rFonts w:cs="Arial"/>
          <w:lang w:val="en-GB"/>
        </w:rPr>
        <w:t xml:space="preserve"> (accessed August 1, 2021)</w:t>
      </w:r>
    </w:p>
    <w:p w14:paraId="0C5BCBC1" w14:textId="77777777" w:rsidR="004B5F95" w:rsidRPr="00565531" w:rsidRDefault="004B5F95" w:rsidP="004B5F95">
      <w:pPr>
        <w:spacing w:after="120"/>
        <w:ind w:left="567" w:hanging="567"/>
        <w:jc w:val="left"/>
        <w:rPr>
          <w:rFonts w:cs="Arial"/>
          <w:lang w:val="en-GB"/>
        </w:rPr>
      </w:pPr>
      <w:r w:rsidRPr="00565531">
        <w:rPr>
          <w:rFonts w:cs="Arial"/>
          <w:lang w:val="en-GB"/>
        </w:rPr>
        <w:t xml:space="preserve">Government of the Netherlands (2021a): Export Credit Insurance (ECI). </w:t>
      </w:r>
      <w:hyperlink r:id="rId49" w:history="1">
        <w:r w:rsidRPr="00565531">
          <w:rPr>
            <w:rStyle w:val="Hyperlink"/>
            <w:rFonts w:cs="Arial"/>
            <w:lang w:val="en-GB"/>
          </w:rPr>
          <w:t>https://www.government.nl/topics/enterprise-and-innovation/excport-credit-insurances-eci</w:t>
        </w:r>
      </w:hyperlink>
      <w:r w:rsidRPr="00565531">
        <w:rPr>
          <w:rFonts w:cs="Arial"/>
          <w:lang w:val="en-GB"/>
        </w:rPr>
        <w:t xml:space="preserve">  (accessed August 1, 2021)</w:t>
      </w:r>
    </w:p>
    <w:p w14:paraId="38A45F0A" w14:textId="77777777" w:rsidR="004B5F95" w:rsidRPr="00565531" w:rsidRDefault="004B5F95" w:rsidP="004B5F95">
      <w:pPr>
        <w:spacing w:after="120"/>
        <w:ind w:left="567" w:hanging="567"/>
        <w:jc w:val="left"/>
        <w:rPr>
          <w:rFonts w:cs="Arial"/>
          <w:lang w:val="en-GB"/>
        </w:rPr>
      </w:pPr>
      <w:r w:rsidRPr="00565531">
        <w:rPr>
          <w:rFonts w:cs="Arial"/>
          <w:lang w:val="en-GB"/>
        </w:rPr>
        <w:t xml:space="preserve">Government of the Netherlands (2021b): Monitor </w:t>
      </w:r>
      <w:proofErr w:type="spellStart"/>
      <w:r w:rsidRPr="00565531">
        <w:rPr>
          <w:rFonts w:cs="Arial"/>
          <w:lang w:val="en-GB"/>
        </w:rPr>
        <w:t>exportkredietverzekeringen</w:t>
      </w:r>
      <w:proofErr w:type="spellEnd"/>
      <w:r w:rsidRPr="00565531">
        <w:rPr>
          <w:rFonts w:cs="Arial"/>
          <w:lang w:val="en-GB"/>
        </w:rPr>
        <w:t xml:space="preserve"> 2020 [in Dutch only] </w:t>
      </w:r>
      <w:hyperlink r:id="rId50" w:history="1">
        <w:r w:rsidRPr="00565531">
          <w:rPr>
            <w:rStyle w:val="Hyperlink"/>
            <w:rFonts w:cs="Arial"/>
            <w:lang w:val="en-GB"/>
          </w:rPr>
          <w:t>https://www.rijksoverheid.nl/binaries/rijksoverheid/documenten/kamerstukken/2021/07/09/monit</w:t>
        </w:r>
        <w:r w:rsidRPr="00565531">
          <w:rPr>
            <w:rStyle w:val="Hyperlink"/>
            <w:rFonts w:cs="Arial"/>
            <w:lang w:val="en-GB"/>
          </w:rPr>
          <w:lastRenderedPageBreak/>
          <w:t>or-exportkredietverzekeringen-2020/monitor-2020-exportkredietverzekeringen.pdf</w:t>
        </w:r>
      </w:hyperlink>
      <w:r w:rsidRPr="00565531">
        <w:rPr>
          <w:rFonts w:cs="Arial"/>
          <w:lang w:val="en-GB"/>
        </w:rPr>
        <w:t xml:space="preserve"> (accessed August 1, 2021)</w:t>
      </w:r>
    </w:p>
    <w:p w14:paraId="14DED7C1" w14:textId="77777777" w:rsidR="004B5F95" w:rsidRPr="00565531" w:rsidRDefault="004B5F95" w:rsidP="004B5F95">
      <w:pPr>
        <w:spacing w:after="120"/>
        <w:ind w:left="567" w:hanging="567"/>
        <w:jc w:val="left"/>
        <w:rPr>
          <w:rFonts w:cs="Arial"/>
          <w:lang w:val="en-GB"/>
        </w:rPr>
      </w:pPr>
      <w:r w:rsidRPr="00565531">
        <w:rPr>
          <w:rFonts w:cs="Arial"/>
          <w:lang w:val="en-GB"/>
        </w:rPr>
        <w:t xml:space="preserve">Government of the Netherlands (2021c): </w:t>
      </w:r>
      <w:proofErr w:type="spellStart"/>
      <w:r w:rsidRPr="00565531">
        <w:rPr>
          <w:rFonts w:cs="Arial"/>
          <w:lang w:val="en-GB"/>
        </w:rPr>
        <w:t>Bijlage</w:t>
      </w:r>
      <w:proofErr w:type="spellEnd"/>
      <w:r w:rsidRPr="00565531">
        <w:rPr>
          <w:rFonts w:cs="Arial"/>
          <w:lang w:val="en-GB"/>
        </w:rPr>
        <w:t xml:space="preserve">: </w:t>
      </w:r>
      <w:proofErr w:type="spellStart"/>
      <w:r w:rsidRPr="00565531">
        <w:rPr>
          <w:rFonts w:cs="Arial"/>
          <w:lang w:val="en-GB"/>
        </w:rPr>
        <w:t>Meetmethodiek</w:t>
      </w:r>
      <w:proofErr w:type="spellEnd"/>
      <w:r w:rsidRPr="00565531">
        <w:rPr>
          <w:rFonts w:cs="Arial"/>
          <w:lang w:val="en-GB"/>
        </w:rPr>
        <w:t xml:space="preserve"> </w:t>
      </w:r>
      <w:proofErr w:type="spellStart"/>
      <w:r w:rsidRPr="00565531">
        <w:rPr>
          <w:rFonts w:cs="Arial"/>
          <w:lang w:val="en-GB"/>
        </w:rPr>
        <w:t>Fossiel</w:t>
      </w:r>
      <w:proofErr w:type="spellEnd"/>
      <w:r w:rsidRPr="00565531">
        <w:rPr>
          <w:rFonts w:cs="Arial"/>
          <w:lang w:val="en-GB"/>
        </w:rPr>
        <w:t xml:space="preserve">. [in Dutch only] </w:t>
      </w:r>
      <w:hyperlink r:id="rId51" w:history="1">
        <w:r w:rsidRPr="00565531">
          <w:rPr>
            <w:rStyle w:val="Hyperlink"/>
            <w:rFonts w:cs="Arial"/>
            <w:lang w:val="en-GB"/>
          </w:rPr>
          <w:t>https://www.rijksoverheid.nl/binaries/rijksoverheid/documenten/kamerstukken/2021/07/09/bijlage-meetmethodiek-fossiel/bijlage-meetmethodiek-fossiel.pdf</w:t>
        </w:r>
      </w:hyperlink>
      <w:r w:rsidRPr="00565531">
        <w:rPr>
          <w:rFonts w:cs="Arial"/>
          <w:lang w:val="en-GB"/>
        </w:rPr>
        <w:t xml:space="preserve"> </w:t>
      </w:r>
    </w:p>
    <w:p w14:paraId="4407C7C7" w14:textId="77777777" w:rsidR="004B5F95" w:rsidRPr="00565531" w:rsidRDefault="004B5F95" w:rsidP="004B5F95">
      <w:pPr>
        <w:spacing w:after="120"/>
        <w:ind w:left="567" w:hanging="567"/>
        <w:jc w:val="left"/>
        <w:rPr>
          <w:rFonts w:cs="Arial"/>
          <w:lang w:val="en-GB"/>
        </w:rPr>
      </w:pPr>
      <w:proofErr w:type="spellStart"/>
      <w:r w:rsidRPr="00565531">
        <w:rPr>
          <w:rFonts w:cs="Arial"/>
          <w:lang w:val="en-GB"/>
        </w:rPr>
        <w:t>Gondjian</w:t>
      </w:r>
      <w:proofErr w:type="spellEnd"/>
      <w:r w:rsidRPr="00565531">
        <w:rPr>
          <w:rFonts w:cs="Arial"/>
          <w:lang w:val="en-GB"/>
        </w:rPr>
        <w:t xml:space="preserve">, </w:t>
      </w:r>
      <w:proofErr w:type="spellStart"/>
      <w:r w:rsidRPr="00565531">
        <w:rPr>
          <w:rFonts w:cs="Arial"/>
          <w:lang w:val="en-GB"/>
        </w:rPr>
        <w:t>Garnik</w:t>
      </w:r>
      <w:proofErr w:type="spellEnd"/>
      <w:r w:rsidRPr="00565531">
        <w:rPr>
          <w:rFonts w:cs="Arial"/>
          <w:lang w:val="en-GB"/>
        </w:rPr>
        <w:t xml:space="preserve">; Merle, Cedric (2020): France’s strategy on export financing: a stick and carrot approach with fossil fuels funding phasing out and a supporting factor for EU Taxonomy compliant activities, Natixis, November 30, 2020, </w:t>
      </w:r>
      <w:hyperlink r:id="rId52" w:history="1">
        <w:r w:rsidRPr="00565531">
          <w:rPr>
            <w:rStyle w:val="Hyperlink"/>
            <w:rFonts w:cs="Arial"/>
            <w:lang w:val="en-GB"/>
          </w:rPr>
          <w:t>https://gsh.cib.natixis.com/our-center-of-expertise/articles/france-s-strategy-on-export-financing-a-stick-and-carrot-approach-with-fossil-fuels-funding-phasing-out-and-a-supporting-factor-for-eu-taxonomy-compliant-activities</w:t>
        </w:r>
      </w:hyperlink>
      <w:r w:rsidRPr="00565531">
        <w:rPr>
          <w:rFonts w:cs="Arial"/>
          <w:lang w:val="en-GB"/>
        </w:rPr>
        <w:t xml:space="preserve"> (accessed June 7, 2021)</w:t>
      </w:r>
    </w:p>
    <w:p w14:paraId="7987EDC3" w14:textId="77777777" w:rsidR="004B5F95" w:rsidRPr="00565531" w:rsidRDefault="004B5F95" w:rsidP="004B5F95">
      <w:pPr>
        <w:spacing w:after="120"/>
        <w:ind w:left="567" w:hanging="567"/>
        <w:jc w:val="left"/>
        <w:rPr>
          <w:rFonts w:cs="Arial"/>
          <w:lang w:val="en-GB"/>
        </w:rPr>
      </w:pPr>
      <w:r w:rsidRPr="00565531">
        <w:rPr>
          <w:rFonts w:cs="Arial"/>
          <w:lang w:val="en-GB"/>
        </w:rPr>
        <w:t xml:space="preserve">IEA (2020): World Energy Investment 2020 – Energy financing and funding. </w:t>
      </w:r>
      <w:hyperlink r:id="rId53" w:history="1">
        <w:r w:rsidRPr="00565531">
          <w:rPr>
            <w:rStyle w:val="Hyperlink"/>
            <w:rFonts w:cs="Arial"/>
            <w:lang w:val="en-GB"/>
          </w:rPr>
          <w:t>https://www.iea.org/reports/world-energy-investment-2020/energy-financing-and-funding</w:t>
        </w:r>
      </w:hyperlink>
      <w:r w:rsidRPr="00565531">
        <w:rPr>
          <w:rFonts w:cs="Arial"/>
          <w:lang w:val="en-GB"/>
        </w:rPr>
        <w:t xml:space="preserve"> </w:t>
      </w:r>
      <w:r w:rsidRPr="00565531">
        <w:rPr>
          <w:rFonts w:cs="Arial"/>
        </w:rPr>
        <w:t>(accessed 1 September, 2021)</w:t>
      </w:r>
    </w:p>
    <w:p w14:paraId="6EB95530" w14:textId="50D2503C" w:rsidR="004B5F95" w:rsidRPr="00565531" w:rsidRDefault="004B5F95" w:rsidP="004B5F95">
      <w:pPr>
        <w:spacing w:after="120"/>
        <w:ind w:left="567" w:hanging="567"/>
        <w:jc w:val="left"/>
        <w:rPr>
          <w:rFonts w:cs="Arial"/>
          <w:lang w:val="en-GB"/>
        </w:rPr>
      </w:pPr>
      <w:r w:rsidRPr="00565531">
        <w:rPr>
          <w:rFonts w:cs="Arial"/>
          <w:lang w:val="en-GB"/>
        </w:rPr>
        <w:t>IEA (2021): Net Zero by 2050 - a roadmap for the global energy sector. International Energy Agency, Paris</w:t>
      </w:r>
    </w:p>
    <w:p w14:paraId="5705FC4F" w14:textId="77777777" w:rsidR="00E516D2" w:rsidRPr="00565531" w:rsidRDefault="00E516D2" w:rsidP="002923FE">
      <w:pPr>
        <w:spacing w:after="120"/>
        <w:ind w:left="567" w:hanging="567"/>
        <w:jc w:val="left"/>
        <w:rPr>
          <w:rFonts w:cs="Arial"/>
          <w:lang w:val="en-GB"/>
        </w:rPr>
      </w:pPr>
      <w:proofErr w:type="spellStart"/>
      <w:r w:rsidRPr="00565531">
        <w:rPr>
          <w:rFonts w:cs="Arial"/>
          <w:lang w:val="en-GB"/>
        </w:rPr>
        <w:t>Milieudefensie</w:t>
      </w:r>
      <w:proofErr w:type="spellEnd"/>
      <w:r w:rsidRPr="00565531">
        <w:rPr>
          <w:rFonts w:cs="Arial"/>
          <w:lang w:val="en-GB"/>
        </w:rPr>
        <w:t xml:space="preserve"> (2020): A Just Transition for Africa? Mapping the impacts of ECAs active in the energy sector in Ghana, Nigeria, Togo and Uganda. </w:t>
      </w:r>
      <w:hyperlink r:id="rId54" w:history="1">
        <w:r w:rsidR="00A66C95" w:rsidRPr="00565531">
          <w:rPr>
            <w:rStyle w:val="Hyperlink"/>
            <w:rFonts w:cs="Arial"/>
            <w:lang w:val="en-GB"/>
          </w:rPr>
          <w:t>https://en.milieudefensie.nl/news/a-just-energy-transition-for-africa.pdf/@@download/file/A%20Just%20Transition%20for%20Africa%20DEF%20(1).pdf</w:t>
        </w:r>
      </w:hyperlink>
      <w:r w:rsidR="00A66C95" w:rsidRPr="00565531">
        <w:rPr>
          <w:rFonts w:cs="Arial"/>
          <w:lang w:val="en-GB"/>
        </w:rPr>
        <w:t xml:space="preserve"> (accessed August 13, 2021)</w:t>
      </w:r>
    </w:p>
    <w:p w14:paraId="1BAD55DE" w14:textId="77777777" w:rsidR="00AF6F59" w:rsidRPr="00565531" w:rsidRDefault="00AF6F59" w:rsidP="002923FE">
      <w:pPr>
        <w:spacing w:after="120"/>
        <w:ind w:left="567" w:hanging="567"/>
        <w:jc w:val="left"/>
        <w:rPr>
          <w:rFonts w:cs="Arial"/>
          <w:lang w:val="en-GB"/>
        </w:rPr>
      </w:pPr>
      <w:r w:rsidRPr="00565531">
        <w:rPr>
          <w:rFonts w:cs="Arial"/>
          <w:lang w:val="nl-NL"/>
        </w:rPr>
        <w:t xml:space="preserve">Milieudefensie et al. (2021a): </w:t>
      </w:r>
      <w:r w:rsidR="006413FD" w:rsidRPr="00565531">
        <w:rPr>
          <w:rFonts w:cs="Arial"/>
          <w:lang w:val="nl-NL"/>
        </w:rPr>
        <w:t xml:space="preserve">Oproep aan overheid: presenteer eind oktober een 1,5°C scenario voor exportsteun. </w:t>
      </w:r>
      <w:r w:rsidR="006413FD" w:rsidRPr="00565531">
        <w:rPr>
          <w:rFonts w:cs="Arial"/>
          <w:lang w:val="en-GB"/>
        </w:rPr>
        <w:t xml:space="preserve">[in Dutch only] </w:t>
      </w:r>
      <w:hyperlink r:id="rId55" w:history="1">
        <w:r w:rsidR="006413FD" w:rsidRPr="00565531">
          <w:rPr>
            <w:rStyle w:val="Hyperlink"/>
            <w:rFonts w:cs="Arial"/>
            <w:lang w:val="en-GB"/>
          </w:rPr>
          <w:t>https://milieudefensie.nl/actueel/reactie-verkenning-milieudefensie-both-ends-oil-change-international.pdf</w:t>
        </w:r>
      </w:hyperlink>
      <w:r w:rsidR="006413FD" w:rsidRPr="00565531">
        <w:rPr>
          <w:rFonts w:cs="Arial"/>
          <w:lang w:val="en-GB"/>
        </w:rPr>
        <w:t xml:space="preserve"> </w:t>
      </w:r>
      <w:r w:rsidR="00F95A13" w:rsidRPr="00565531">
        <w:rPr>
          <w:rFonts w:cs="Arial"/>
          <w:lang w:val="en-GB"/>
        </w:rPr>
        <w:t>(accessed August 13, 2021)</w:t>
      </w:r>
    </w:p>
    <w:p w14:paraId="63C3E017" w14:textId="77777777" w:rsidR="00134130" w:rsidRPr="00565531" w:rsidRDefault="00134130" w:rsidP="002923FE">
      <w:pPr>
        <w:spacing w:after="120"/>
        <w:ind w:left="567" w:hanging="567"/>
        <w:jc w:val="left"/>
        <w:rPr>
          <w:rFonts w:cs="Arial"/>
          <w:lang w:val="en-GB"/>
        </w:rPr>
      </w:pPr>
      <w:r w:rsidRPr="00565531">
        <w:rPr>
          <w:rFonts w:cs="Arial"/>
          <w:lang w:val="nl-NL"/>
        </w:rPr>
        <w:t xml:space="preserve">Milieudefensie et al. (2021b): Een exportkredietverzekering in lijn met Parijs. </w:t>
      </w:r>
      <w:r w:rsidRPr="00565531">
        <w:rPr>
          <w:rFonts w:cs="Arial"/>
          <w:lang w:val="en-GB"/>
        </w:rPr>
        <w:t xml:space="preserve">[in Dutch only] </w:t>
      </w:r>
      <w:hyperlink r:id="rId56" w:history="1">
        <w:r w:rsidRPr="00565531">
          <w:rPr>
            <w:rStyle w:val="Hyperlink"/>
            <w:rFonts w:cs="Arial"/>
            <w:lang w:val="en-GB"/>
          </w:rPr>
          <w:t>https://milieudefensie.nl/actueel/een-exportkredietverzekering-in-lijn-met-parijs.pdf/@@download/file/210215_Een%20exportkredietverzekering%20in%20lijn%20met%20Parijs.pdf</w:t>
        </w:r>
      </w:hyperlink>
      <w:r w:rsidRPr="00565531">
        <w:rPr>
          <w:rFonts w:cs="Arial"/>
          <w:lang w:val="en-GB"/>
        </w:rPr>
        <w:t xml:space="preserve"> (accessed August 13, 2021)</w:t>
      </w:r>
    </w:p>
    <w:p w14:paraId="6C78C644" w14:textId="77777777" w:rsidR="00917279" w:rsidRPr="00565531" w:rsidRDefault="00917279" w:rsidP="002923FE">
      <w:pPr>
        <w:spacing w:after="120"/>
        <w:ind w:left="567" w:hanging="567"/>
        <w:jc w:val="left"/>
        <w:rPr>
          <w:rFonts w:cs="Arial"/>
          <w:lang w:val="en-GB"/>
        </w:rPr>
      </w:pPr>
      <w:r w:rsidRPr="00565531">
        <w:rPr>
          <w:rFonts w:cs="Arial"/>
          <w:lang w:val="en-GB"/>
        </w:rPr>
        <w:t xml:space="preserve">Ministry of Economic Affairs and Climate Policy (2019): The Netherlands Fourth Biennial Report Under the United Nations Framework Convention On Climate Change. </w:t>
      </w:r>
      <w:hyperlink r:id="rId57" w:history="1">
        <w:r w:rsidRPr="00565531">
          <w:rPr>
            <w:rStyle w:val="Hyperlink"/>
            <w:rFonts w:cs="Arial"/>
            <w:u w:val="none"/>
            <w:lang w:val="en-GB"/>
          </w:rPr>
          <w:t>https://unfccc.int/sites/default/files/resource/NLD%204th%20Biennial%20Report%20Final%20version%2018dec19.pdf</w:t>
        </w:r>
      </w:hyperlink>
      <w:r w:rsidRPr="00565531">
        <w:rPr>
          <w:rFonts w:cs="Arial"/>
          <w:lang w:val="en-GB"/>
        </w:rPr>
        <w:t xml:space="preserve"> (accessed August 13, 2021)</w:t>
      </w:r>
    </w:p>
    <w:p w14:paraId="705B1ED4" w14:textId="77777777" w:rsidR="007B6B9B" w:rsidRPr="00565531" w:rsidRDefault="007B6B9B" w:rsidP="002923FE">
      <w:pPr>
        <w:spacing w:after="120"/>
        <w:ind w:left="567" w:hanging="567"/>
        <w:jc w:val="left"/>
        <w:rPr>
          <w:rFonts w:cs="Arial"/>
          <w:lang w:val="en-GB"/>
        </w:rPr>
      </w:pPr>
      <w:r w:rsidRPr="00565531">
        <w:rPr>
          <w:rFonts w:cs="Arial"/>
          <w:lang w:val="nl-NL"/>
        </w:rPr>
        <w:t>Ministry of Finance (2021</w:t>
      </w:r>
      <w:r w:rsidR="0084097B" w:rsidRPr="00565531">
        <w:rPr>
          <w:rFonts w:cs="Arial"/>
          <w:lang w:val="nl-NL"/>
        </w:rPr>
        <w:t>a</w:t>
      </w:r>
      <w:r w:rsidRPr="00565531">
        <w:rPr>
          <w:rFonts w:cs="Arial"/>
          <w:lang w:val="nl-NL"/>
        </w:rPr>
        <w:t xml:space="preserve">): Aanbiedingsbrief bij verkenning over in lijn brengen  exportkredietverzekering met de Overeenkomst van Parijs. </w:t>
      </w:r>
      <w:r w:rsidRPr="00565531">
        <w:rPr>
          <w:rFonts w:cs="Arial"/>
          <w:lang w:val="en-GB"/>
        </w:rPr>
        <w:t xml:space="preserve">[in Dutch only] </w:t>
      </w:r>
      <w:hyperlink r:id="rId58" w:history="1">
        <w:r w:rsidRPr="00565531">
          <w:rPr>
            <w:rStyle w:val="Hyperlink"/>
            <w:rFonts w:cs="Arial"/>
            <w:lang w:val="en-GB"/>
          </w:rPr>
          <w:t>https://www.rijksoverheid.nl/documenten/kamerstukken/2021/05/11/aanbiedingsbrief-bij-verkenning-over-in-lijn-brengen-ekv-met-de-overeenkomst-van-parijs</w:t>
        </w:r>
      </w:hyperlink>
      <w:r w:rsidRPr="00565531">
        <w:rPr>
          <w:rFonts w:cs="Arial"/>
          <w:lang w:val="en-GB"/>
        </w:rPr>
        <w:t xml:space="preserve"> </w:t>
      </w:r>
    </w:p>
    <w:p w14:paraId="72BA9C3B" w14:textId="77777777" w:rsidR="005F6C67" w:rsidRPr="00565531" w:rsidRDefault="005F6C67" w:rsidP="002923FE">
      <w:pPr>
        <w:spacing w:after="120"/>
        <w:ind w:left="567" w:hanging="567"/>
        <w:jc w:val="left"/>
        <w:rPr>
          <w:rFonts w:cs="Arial"/>
          <w:lang w:val="en-GB"/>
        </w:rPr>
      </w:pPr>
      <w:r w:rsidRPr="00565531">
        <w:rPr>
          <w:rFonts w:cs="Arial"/>
          <w:lang w:val="nl-NL"/>
        </w:rPr>
        <w:t>Ministry of Finance (2021</w:t>
      </w:r>
      <w:r w:rsidR="0084097B" w:rsidRPr="00565531">
        <w:rPr>
          <w:rFonts w:cs="Arial"/>
          <w:lang w:val="nl-NL"/>
        </w:rPr>
        <w:t>b</w:t>
      </w:r>
      <w:r w:rsidRPr="00565531">
        <w:rPr>
          <w:rFonts w:cs="Arial"/>
          <w:lang w:val="nl-NL"/>
        </w:rPr>
        <w:t xml:space="preserve">): Verkenning in lijn brengen van de exportkredietverzekering met de Overeenkomst van Parijs. </w:t>
      </w:r>
      <w:r w:rsidRPr="00565531">
        <w:rPr>
          <w:rFonts w:cs="Arial"/>
          <w:lang w:val="en-GB"/>
        </w:rPr>
        <w:t xml:space="preserve">[in Dutch only] </w:t>
      </w:r>
      <w:hyperlink r:id="rId59" w:history="1">
        <w:r w:rsidRPr="00565531">
          <w:rPr>
            <w:rStyle w:val="Hyperlink"/>
            <w:rFonts w:cs="Arial"/>
            <w:lang w:val="en-GB"/>
          </w:rPr>
          <w:t>https://www.rijksoverheid.nl/binaries/rijksoverheid/documenten/kamerstukken/2021/05/11/1verk</w:t>
        </w:r>
        <w:r w:rsidRPr="00565531">
          <w:rPr>
            <w:rStyle w:val="Hyperlink"/>
            <w:rFonts w:cs="Arial"/>
            <w:lang w:val="en-GB"/>
          </w:rPr>
          <w:lastRenderedPageBreak/>
          <w:t>enning-ekv-in-lijn-brengen-met-de-overeenkomst-van-parijs/1verkenning-ekv-in-lijn-brengen-met-de-overeenkomst-van-parijs.pdf</w:t>
        </w:r>
      </w:hyperlink>
      <w:r w:rsidRPr="00565531">
        <w:rPr>
          <w:rFonts w:cs="Arial"/>
          <w:lang w:val="en-GB"/>
        </w:rPr>
        <w:t xml:space="preserve"> (accessed August 1, 2021)</w:t>
      </w:r>
    </w:p>
    <w:p w14:paraId="4C341397" w14:textId="641E1E5A" w:rsidR="003B4900" w:rsidRPr="00565531" w:rsidDel="003B4900" w:rsidRDefault="003B4900" w:rsidP="003B4900">
      <w:pPr>
        <w:spacing w:after="120"/>
        <w:ind w:left="567" w:hanging="567"/>
        <w:jc w:val="left"/>
        <w:rPr>
          <w:rFonts w:cs="Arial"/>
          <w:lang w:val="en-GB"/>
        </w:rPr>
      </w:pPr>
      <w:r w:rsidRPr="00565531">
        <w:rPr>
          <w:rFonts w:cs="Arial"/>
          <w:lang w:val="en-GB"/>
        </w:rPr>
        <w:t>Ministry of Finance (2020): Letter about additional measures to stimulate green recovery. https://www.rijksoverheid.nl/binaries/rijksoverheid/documenten/kamerstukken/2020/11/16/kamerbrief-over-aanvullende-maatregelen-om-groen-herstel-te-stimuleren/kamerbrief-over-aanvullende-maatregelen-om-groen-herstel-te-stimuleren.pdf  (accessed October 6, 2021)</w:t>
      </w:r>
    </w:p>
    <w:p w14:paraId="6A9579A7" w14:textId="77777777" w:rsidR="00DF3BC9" w:rsidRPr="00565531" w:rsidRDefault="00DF3BC9" w:rsidP="00DF3BC9">
      <w:pPr>
        <w:spacing w:after="120"/>
        <w:ind w:left="567" w:hanging="567"/>
        <w:jc w:val="left"/>
        <w:rPr>
          <w:rFonts w:cs="Arial"/>
          <w:lang w:val="en-GB"/>
        </w:rPr>
      </w:pPr>
      <w:r w:rsidRPr="00565531">
        <w:rPr>
          <w:rFonts w:cs="Arial"/>
          <w:lang w:val="en-GB"/>
        </w:rPr>
        <w:t xml:space="preserve">Ministry of Finance (2010): Letter about relationship between Atradius Dutch State Business and the Dutch state. </w:t>
      </w:r>
      <w:hyperlink r:id="rId60" w:history="1">
        <w:r w:rsidRPr="00565531">
          <w:rPr>
            <w:rStyle w:val="Hyperlink"/>
            <w:rFonts w:cs="Arial"/>
            <w:lang w:val="en-GB"/>
          </w:rPr>
          <w:t>https://atradiusdutchstatebusiness.nl/en/documents/brief-over-samenwerking-atradius-dutch-state-business-en-staat-%28en%29.pdf</w:t>
        </w:r>
      </w:hyperlink>
      <w:r w:rsidRPr="00565531">
        <w:rPr>
          <w:rFonts w:cs="Arial"/>
          <w:lang w:val="en-GB"/>
        </w:rPr>
        <w:t xml:space="preserve"> (accessed August 1, 2021)</w:t>
      </w:r>
    </w:p>
    <w:p w14:paraId="3AA80D0B" w14:textId="77777777" w:rsidR="003B4900" w:rsidRPr="00565531" w:rsidRDefault="003B4900" w:rsidP="003B4900">
      <w:pPr>
        <w:spacing w:after="120"/>
        <w:ind w:left="567" w:hanging="567"/>
        <w:jc w:val="left"/>
        <w:rPr>
          <w:rFonts w:cs="Arial"/>
          <w:lang w:val="en-GB"/>
        </w:rPr>
      </w:pPr>
      <w:r w:rsidRPr="00565531">
        <w:rPr>
          <w:rFonts w:cs="Arial"/>
          <w:lang w:val="en-GB"/>
        </w:rPr>
        <w:t xml:space="preserve">Ministry of Economy of France (2021): Seven countries launch international coalition “Export Finance for Future” (E3F) to align export finance with climate objectives, April 14, 2021, </w:t>
      </w:r>
      <w:hyperlink r:id="rId61" w:history="1">
        <w:r w:rsidRPr="00565531">
          <w:rPr>
            <w:rStyle w:val="Hyperlink"/>
            <w:rFonts w:cs="Arial"/>
            <w:lang w:val="en-GB"/>
          </w:rPr>
          <w:t>https://www.tresor.economie.gouv.fr/Articles/2021/04/14/seven-countries-launch-international-coalition-export-finance-for-future-e3f-to-align-export-finance-with-climate-objectives</w:t>
        </w:r>
      </w:hyperlink>
      <w:r w:rsidRPr="00565531">
        <w:rPr>
          <w:rFonts w:cs="Arial"/>
          <w:lang w:val="en-GB"/>
        </w:rPr>
        <w:t xml:space="preserve"> (accessed June 7, 2021)</w:t>
      </w:r>
    </w:p>
    <w:p w14:paraId="0368F4FB" w14:textId="77777777" w:rsidR="00142F7C" w:rsidRPr="00565531" w:rsidRDefault="00142F7C" w:rsidP="002923FE">
      <w:pPr>
        <w:spacing w:after="120"/>
        <w:ind w:left="567" w:hanging="567"/>
        <w:jc w:val="left"/>
        <w:rPr>
          <w:rFonts w:cs="Arial"/>
          <w:lang w:val="en-GB"/>
        </w:rPr>
      </w:pPr>
      <w:r w:rsidRPr="00565531">
        <w:rPr>
          <w:rFonts w:cs="Arial"/>
          <w:lang w:val="en-GB"/>
        </w:rPr>
        <w:t xml:space="preserve">NDRC (2020): Gas Leaks—and It’s Worse Than We Thought. Natural Resource Defence Council. </w:t>
      </w:r>
      <w:hyperlink r:id="rId62" w:history="1">
        <w:r w:rsidRPr="00565531">
          <w:rPr>
            <w:rStyle w:val="Hyperlink"/>
            <w:rFonts w:cs="Arial"/>
            <w:lang w:val="en-GB"/>
          </w:rPr>
          <w:t>https://www.nrdc.org/experts/sheryl-carter/gas-leaks-and-its-worse-we-thought</w:t>
        </w:r>
      </w:hyperlink>
      <w:r w:rsidRPr="00565531">
        <w:rPr>
          <w:rFonts w:cs="Arial"/>
          <w:lang w:val="en-GB"/>
        </w:rPr>
        <w:t xml:space="preserve"> (accessed August 1, 2021)</w:t>
      </w:r>
    </w:p>
    <w:p w14:paraId="6C8AF794" w14:textId="77777777" w:rsidR="00695F85" w:rsidRPr="00565531" w:rsidRDefault="00695F85" w:rsidP="002923FE">
      <w:pPr>
        <w:spacing w:after="120"/>
        <w:ind w:left="567" w:hanging="567"/>
        <w:jc w:val="left"/>
        <w:rPr>
          <w:rFonts w:cs="Arial"/>
        </w:rPr>
      </w:pPr>
      <w:r w:rsidRPr="00565531">
        <w:rPr>
          <w:rFonts w:cs="Arial"/>
        </w:rPr>
        <w:t>Oil Change International (2021): ‘Shift the Subsidies: Financing Dirty Energy’. Oil Change International</w:t>
      </w:r>
      <w:r w:rsidR="009C584F" w:rsidRPr="00565531">
        <w:rPr>
          <w:rFonts w:cs="Arial"/>
        </w:rPr>
        <w:t xml:space="preserve"> Shift the Subsidies Database – Version June 2021</w:t>
      </w:r>
      <w:r w:rsidRPr="00565531">
        <w:rPr>
          <w:rFonts w:cs="Arial"/>
        </w:rPr>
        <w:t>.</w:t>
      </w:r>
      <w:r w:rsidR="00FC0050" w:rsidRPr="00565531">
        <w:rPr>
          <w:rFonts w:cs="Arial"/>
        </w:rPr>
        <w:t xml:space="preserve"> http://priceofoil.org/shift-the-subsidies/ </w:t>
      </w:r>
      <w:r w:rsidR="009C584F" w:rsidRPr="00565531">
        <w:rPr>
          <w:rFonts w:cs="Arial"/>
        </w:rPr>
        <w:t xml:space="preserve"> </w:t>
      </w:r>
    </w:p>
    <w:p w14:paraId="2A48E406" w14:textId="77777777" w:rsidR="00E94525" w:rsidRPr="00565531" w:rsidRDefault="00E94525" w:rsidP="002923FE">
      <w:pPr>
        <w:spacing w:after="120"/>
        <w:ind w:left="567" w:hanging="567"/>
        <w:jc w:val="left"/>
        <w:rPr>
          <w:rFonts w:cs="Arial"/>
        </w:rPr>
      </w:pPr>
      <w:r w:rsidRPr="00565531">
        <w:rPr>
          <w:rFonts w:cs="Arial"/>
        </w:rPr>
        <w:t xml:space="preserve">OECD (2016): Recommendation of the Council on Common Approaches for Officially Supported Export Credits and Environmental and Social Due Diligence. </w:t>
      </w:r>
      <w:hyperlink r:id="rId63" w:history="1">
        <w:r w:rsidRPr="00565531">
          <w:rPr>
            <w:rStyle w:val="Hyperlink"/>
            <w:rFonts w:cs="Arial"/>
          </w:rPr>
          <w:t>https://legalinstruments.oecd.org/en/instruments/OECD-LEGAL-0393</w:t>
        </w:r>
      </w:hyperlink>
      <w:r w:rsidRPr="00565531">
        <w:rPr>
          <w:rFonts w:cs="Arial"/>
        </w:rPr>
        <w:t xml:space="preserve"> </w:t>
      </w:r>
    </w:p>
    <w:p w14:paraId="49608C60" w14:textId="77777777" w:rsidR="00917279" w:rsidRPr="00565531" w:rsidRDefault="00917279" w:rsidP="002923FE">
      <w:pPr>
        <w:spacing w:after="120"/>
        <w:ind w:left="567" w:hanging="567"/>
        <w:jc w:val="left"/>
        <w:rPr>
          <w:rFonts w:cs="Arial"/>
        </w:rPr>
      </w:pPr>
      <w:r w:rsidRPr="00565531">
        <w:rPr>
          <w:rFonts w:cs="Arial"/>
        </w:rPr>
        <w:t xml:space="preserve">OECD (2020): Climate finance provided and </w:t>
      </w:r>
      <w:proofErr w:type="spellStart"/>
      <w:r w:rsidRPr="00565531">
        <w:rPr>
          <w:rFonts w:cs="Arial"/>
        </w:rPr>
        <w:t>mobilised</w:t>
      </w:r>
      <w:proofErr w:type="spellEnd"/>
      <w:r w:rsidRPr="00565531">
        <w:rPr>
          <w:rFonts w:cs="Arial"/>
        </w:rPr>
        <w:t xml:space="preserve"> by developed countries in 2013-18, https://www.oecd.org/environment/climate-finance-provided-and-mobilised-by-developed-countries-in-2013-18-f0773d55-en.htm (accessed 1 September, 2021)</w:t>
      </w:r>
    </w:p>
    <w:p w14:paraId="17F622AF" w14:textId="77777777" w:rsidR="00627724" w:rsidRPr="00565531" w:rsidRDefault="00627724" w:rsidP="00620202">
      <w:pPr>
        <w:spacing w:after="120"/>
        <w:ind w:left="567" w:hanging="567"/>
        <w:jc w:val="left"/>
        <w:rPr>
          <w:rFonts w:cs="Arial"/>
          <w:lang w:val="en-GB"/>
        </w:rPr>
      </w:pPr>
      <w:r w:rsidRPr="00565531">
        <w:rPr>
          <w:rFonts w:cs="Arial"/>
          <w:lang w:val="en-GB"/>
        </w:rPr>
        <w:t>OECD (2021</w:t>
      </w:r>
      <w:r w:rsidR="005A0FB1" w:rsidRPr="00565531">
        <w:rPr>
          <w:rFonts w:cs="Arial"/>
          <w:lang w:val="en-GB"/>
        </w:rPr>
        <w:t>a</w:t>
      </w:r>
      <w:r w:rsidRPr="00565531">
        <w:rPr>
          <w:rFonts w:cs="Arial"/>
          <w:lang w:val="en-GB"/>
        </w:rPr>
        <w:t xml:space="preserve">): Export credits, </w:t>
      </w:r>
      <w:hyperlink r:id="rId64" w:history="1">
        <w:r w:rsidRPr="00565531">
          <w:rPr>
            <w:rStyle w:val="Hyperlink"/>
            <w:rFonts w:cs="Arial"/>
            <w:lang w:val="en-GB"/>
          </w:rPr>
          <w:t>https://www.oecd.org/trade/topics/export-credits/</w:t>
        </w:r>
      </w:hyperlink>
      <w:r w:rsidRPr="00565531">
        <w:rPr>
          <w:rFonts w:cs="Arial"/>
          <w:lang w:val="en-GB"/>
        </w:rPr>
        <w:t xml:space="preserve"> (accessed June 7, 2021)</w:t>
      </w:r>
    </w:p>
    <w:p w14:paraId="589D44F3" w14:textId="77777777" w:rsidR="005A0FB1" w:rsidRPr="00565531" w:rsidRDefault="005A0FB1" w:rsidP="002923FE">
      <w:pPr>
        <w:spacing w:after="120"/>
        <w:ind w:left="567" w:hanging="567"/>
        <w:jc w:val="left"/>
        <w:rPr>
          <w:rFonts w:cs="Arial"/>
          <w:lang w:val="en-GB"/>
        </w:rPr>
      </w:pPr>
      <w:r w:rsidRPr="00565531">
        <w:rPr>
          <w:rFonts w:cs="Arial"/>
          <w:lang w:val="en-GB"/>
        </w:rPr>
        <w:t xml:space="preserve">OECD (2021b): Primary energy supply (indicator). </w:t>
      </w:r>
      <w:proofErr w:type="spellStart"/>
      <w:r w:rsidRPr="00565531">
        <w:rPr>
          <w:rFonts w:cs="Arial"/>
          <w:lang w:val="en-GB"/>
        </w:rPr>
        <w:t>doi</w:t>
      </w:r>
      <w:proofErr w:type="spellEnd"/>
      <w:r w:rsidRPr="00565531">
        <w:rPr>
          <w:rFonts w:cs="Arial"/>
          <w:lang w:val="en-GB"/>
        </w:rPr>
        <w:t>: 10.1787/1b33c15a-en (</w:t>
      </w:r>
      <w:r w:rsidR="005853A4" w:rsidRPr="00565531">
        <w:rPr>
          <w:rFonts w:cs="Arial"/>
          <w:lang w:val="en-GB"/>
        </w:rPr>
        <w:t>a</w:t>
      </w:r>
      <w:r w:rsidRPr="00565531">
        <w:rPr>
          <w:rFonts w:cs="Arial"/>
          <w:lang w:val="en-GB"/>
        </w:rPr>
        <w:t xml:space="preserve">ccessed on </w:t>
      </w:r>
      <w:r w:rsidR="00DA58EA" w:rsidRPr="00565531">
        <w:rPr>
          <w:rFonts w:cs="Arial"/>
          <w:lang w:val="en-GB"/>
        </w:rPr>
        <w:t>1</w:t>
      </w:r>
      <w:r w:rsidRPr="00565531">
        <w:rPr>
          <w:rFonts w:cs="Arial"/>
          <w:lang w:val="en-GB"/>
        </w:rPr>
        <w:t>2 September 2021)</w:t>
      </w:r>
    </w:p>
    <w:p w14:paraId="246B1305" w14:textId="77777777" w:rsidR="003A746C" w:rsidRPr="00565531" w:rsidRDefault="003A746C" w:rsidP="002923FE">
      <w:pPr>
        <w:spacing w:after="120"/>
        <w:ind w:left="567" w:hanging="567"/>
        <w:jc w:val="left"/>
        <w:rPr>
          <w:rFonts w:cs="Arial"/>
          <w:lang w:val="en-GB"/>
        </w:rPr>
      </w:pPr>
      <w:r w:rsidRPr="00565531">
        <w:rPr>
          <w:rFonts w:cs="Arial"/>
          <w:lang w:val="en-GB"/>
        </w:rPr>
        <w:t xml:space="preserve">PCAF (2020): The Global GHG Accounting and Reporting Standard for the Financial Industry. First edition. </w:t>
      </w:r>
      <w:hyperlink r:id="rId65" w:history="1">
        <w:r w:rsidRPr="00565531">
          <w:rPr>
            <w:rStyle w:val="Hyperlink"/>
            <w:rFonts w:cs="Arial"/>
            <w:u w:val="none"/>
            <w:lang w:val="en-GB"/>
          </w:rPr>
          <w:t>https://carbonaccountingfinancials.com/files/downloads/PCAF-Global-GHG-Standard.pdf</w:t>
        </w:r>
      </w:hyperlink>
      <w:r w:rsidRPr="00565531">
        <w:rPr>
          <w:rFonts w:cs="Arial"/>
          <w:lang w:val="en-GB"/>
        </w:rPr>
        <w:t xml:space="preserve"> (accessed August 31, 2021)</w:t>
      </w:r>
    </w:p>
    <w:p w14:paraId="3AC55A25" w14:textId="77777777" w:rsidR="00424654" w:rsidRPr="00565531" w:rsidRDefault="00424654" w:rsidP="002923FE">
      <w:pPr>
        <w:spacing w:after="120"/>
        <w:ind w:left="567" w:hanging="567"/>
        <w:jc w:val="left"/>
        <w:rPr>
          <w:lang w:val="en-GB"/>
        </w:rPr>
      </w:pPr>
      <w:r w:rsidRPr="00565531">
        <w:rPr>
          <w:lang w:val="en-GB"/>
        </w:rPr>
        <w:t xml:space="preserve">PCAF (2021): Partnership for Carbon Accounting Financials collaborates with UN-convened Net-Zero Insurance Alliance to develop standard to measure insured emissions. </w:t>
      </w:r>
      <w:hyperlink r:id="rId66" w:anchor="newsitemtext" w:history="1">
        <w:r w:rsidRPr="00565531">
          <w:rPr>
            <w:rStyle w:val="Hyperlink"/>
            <w:lang w:val="en-GB"/>
          </w:rPr>
          <w:t>https://carbonaccountingfinancials.com/newsitem/partnership-for-carbon-accounting-financials-collaborates-with-un-convened-net-zero-insurance-alliance-to-develop-standard-to-measure-insured-emissions#newsitemtext</w:t>
        </w:r>
      </w:hyperlink>
      <w:r w:rsidRPr="00565531">
        <w:rPr>
          <w:lang w:val="en-GB"/>
        </w:rPr>
        <w:t xml:space="preserve"> (accessed September 9, 2021)</w:t>
      </w:r>
    </w:p>
    <w:p w14:paraId="4020012D" w14:textId="77777777" w:rsidR="008121D6" w:rsidRPr="00565531" w:rsidRDefault="008121D6" w:rsidP="002923FE">
      <w:pPr>
        <w:spacing w:after="120"/>
        <w:ind w:left="426" w:hanging="426"/>
        <w:jc w:val="left"/>
        <w:rPr>
          <w:rFonts w:cs="Arial"/>
          <w:lang w:val="en-GB"/>
        </w:rPr>
      </w:pPr>
      <w:r w:rsidRPr="00565531">
        <w:rPr>
          <w:lang w:val="en-GB"/>
        </w:rPr>
        <w:lastRenderedPageBreak/>
        <w:t xml:space="preserve">Prime Minister´s Office, The (2020): PM announces the UK will end support for fossil fuel sector overseas. Press release. </w:t>
      </w:r>
      <w:hyperlink r:id="rId67" w:history="1">
        <w:r w:rsidRPr="00565531">
          <w:rPr>
            <w:rStyle w:val="Hyperlink"/>
            <w:lang w:val="en-GB"/>
          </w:rPr>
          <w:t>https://www.gov.uk/government/news/pm-announces-the-uk-will-end-support-for-fossil-fuel-sector-overseas</w:t>
        </w:r>
      </w:hyperlink>
      <w:r w:rsidRPr="00565531">
        <w:rPr>
          <w:lang w:val="en-GB"/>
        </w:rPr>
        <w:t xml:space="preserve"> </w:t>
      </w:r>
      <w:r w:rsidRPr="00565531">
        <w:rPr>
          <w:rFonts w:cs="Arial"/>
          <w:lang w:val="en-GB"/>
        </w:rPr>
        <w:t xml:space="preserve">(accessed </w:t>
      </w:r>
      <w:r w:rsidR="0034792A" w:rsidRPr="00565531">
        <w:rPr>
          <w:rFonts w:cs="Arial"/>
          <w:lang w:val="en-GB"/>
        </w:rPr>
        <w:t>August</w:t>
      </w:r>
      <w:r w:rsidRPr="00565531">
        <w:rPr>
          <w:rFonts w:cs="Arial"/>
          <w:lang w:val="en-GB"/>
        </w:rPr>
        <w:t xml:space="preserve"> 14, 2021)</w:t>
      </w:r>
    </w:p>
    <w:p w14:paraId="26D9FCFB" w14:textId="77777777" w:rsidR="004C4FF8" w:rsidRPr="00565531" w:rsidRDefault="004C4FF8" w:rsidP="002923FE">
      <w:pPr>
        <w:spacing w:after="120"/>
        <w:ind w:left="567" w:hanging="567"/>
        <w:jc w:val="left"/>
        <w:rPr>
          <w:rFonts w:cs="Arial"/>
          <w:lang w:val="en-GB"/>
        </w:rPr>
      </w:pPr>
      <w:r w:rsidRPr="00565531">
        <w:rPr>
          <w:lang w:val="nl-NL"/>
        </w:rPr>
        <w:t xml:space="preserve">Seto, Karen C. et al. </w:t>
      </w:r>
      <w:r w:rsidRPr="00565531">
        <w:rPr>
          <w:lang w:val="en-GB"/>
        </w:rPr>
        <w:t xml:space="preserve">(2016): Carbon Lock-In: Types, Causes, and Policy Implications. </w:t>
      </w:r>
      <w:proofErr w:type="spellStart"/>
      <w:r w:rsidRPr="00565531">
        <w:rPr>
          <w:lang w:val="en-GB"/>
        </w:rPr>
        <w:t>Annu</w:t>
      </w:r>
      <w:proofErr w:type="spellEnd"/>
      <w:r w:rsidRPr="00565531">
        <w:rPr>
          <w:lang w:val="en-GB"/>
        </w:rPr>
        <w:t xml:space="preserve">. Rev. Environ. </w:t>
      </w:r>
      <w:proofErr w:type="spellStart"/>
      <w:r w:rsidRPr="00565531">
        <w:rPr>
          <w:lang w:val="en-GB"/>
        </w:rPr>
        <w:t>Resour</w:t>
      </w:r>
      <w:proofErr w:type="spellEnd"/>
      <w:r w:rsidRPr="00565531">
        <w:rPr>
          <w:lang w:val="en-GB"/>
        </w:rPr>
        <w:t xml:space="preserve">. 2016. 41:425–52 </w:t>
      </w:r>
      <w:hyperlink r:id="rId68" w:history="1">
        <w:r w:rsidRPr="00565531">
          <w:rPr>
            <w:rStyle w:val="Hyperlink"/>
            <w:lang w:val="en-GB"/>
          </w:rPr>
          <w:t>https://www.annualreviews.org/doi/pdf/10.1146/annurev-environ-110615-085934</w:t>
        </w:r>
      </w:hyperlink>
      <w:r w:rsidRPr="00565531">
        <w:rPr>
          <w:lang w:val="en-GB"/>
        </w:rPr>
        <w:t xml:space="preserve"> </w:t>
      </w:r>
      <w:r w:rsidRPr="00565531">
        <w:rPr>
          <w:rFonts w:cs="Arial"/>
          <w:lang w:val="en-GB"/>
        </w:rPr>
        <w:t>(accessed August 31, 2021)</w:t>
      </w:r>
    </w:p>
    <w:p w14:paraId="13CAF6AA" w14:textId="51348F92" w:rsidR="00A10260" w:rsidRPr="00565531" w:rsidRDefault="00A10260" w:rsidP="00A10260">
      <w:pPr>
        <w:spacing w:after="120"/>
        <w:ind w:left="567" w:hanging="567"/>
        <w:jc w:val="left"/>
        <w:rPr>
          <w:rFonts w:cs="Arial"/>
          <w:lang w:val="en-GB"/>
        </w:rPr>
      </w:pPr>
      <w:r w:rsidRPr="00565531">
        <w:rPr>
          <w:rFonts w:cs="Arial"/>
          <w:lang w:val="en-GB"/>
        </w:rPr>
        <w:t xml:space="preserve">Shishlov, Igor; Weber, Anne-Kathrin; Stepchuk, Inna; Darouich, Laila; Michaelowa, Axel (2020): External and internal climate change policies for export credit and insurance agencies, </w:t>
      </w:r>
      <w:r w:rsidR="00931151" w:rsidRPr="00565531">
        <w:rPr>
          <w:rFonts w:cs="Arial"/>
          <w:iCs/>
          <w:lang w:val="en-GB"/>
        </w:rPr>
        <w:t>Perspectives Climate Research</w:t>
      </w:r>
      <w:r w:rsidRPr="00565531">
        <w:rPr>
          <w:rFonts w:cs="Arial"/>
          <w:lang w:val="en-GB"/>
        </w:rPr>
        <w:t>, Freiburg</w:t>
      </w:r>
    </w:p>
    <w:p w14:paraId="6C658430" w14:textId="7C2CE651" w:rsidR="00A10260" w:rsidRPr="00565531" w:rsidRDefault="00A10260" w:rsidP="00A10260">
      <w:pPr>
        <w:spacing w:after="120"/>
        <w:ind w:left="567" w:hanging="567"/>
        <w:jc w:val="left"/>
        <w:rPr>
          <w:rFonts w:cs="Arial"/>
          <w:lang w:val="en-GB"/>
        </w:rPr>
      </w:pPr>
      <w:r w:rsidRPr="00565531">
        <w:rPr>
          <w:rFonts w:cs="Arial"/>
          <w:lang w:val="en-GB"/>
        </w:rPr>
        <w:t>Shishlov, Igor; Censkowsky, Philipp; Darouich, Laila (2021): Aligning Export Credit Agencies with the Paris Agreement</w:t>
      </w:r>
      <w:r w:rsidR="00931151" w:rsidRPr="00565531">
        <w:rPr>
          <w:rFonts w:cs="Arial"/>
          <w:lang w:val="en-GB"/>
        </w:rPr>
        <w:t xml:space="preserve">, </w:t>
      </w:r>
      <w:r w:rsidRPr="00565531">
        <w:rPr>
          <w:rFonts w:cs="Arial"/>
          <w:iCs/>
          <w:lang w:val="en-GB"/>
        </w:rPr>
        <w:t>Perspectives Climate Research</w:t>
      </w:r>
      <w:r w:rsidR="00931151" w:rsidRPr="00565531">
        <w:rPr>
          <w:rFonts w:cs="Arial"/>
          <w:iCs/>
          <w:lang w:val="en-GB"/>
        </w:rPr>
        <w:t>, Freiburg</w:t>
      </w:r>
    </w:p>
    <w:p w14:paraId="0D8D1AA1" w14:textId="77777777" w:rsidR="00A10260" w:rsidRPr="00565531" w:rsidRDefault="00A10260" w:rsidP="00A10260">
      <w:pPr>
        <w:spacing w:after="120"/>
        <w:ind w:left="567" w:hanging="567"/>
        <w:jc w:val="left"/>
        <w:rPr>
          <w:rFonts w:cs="Arial"/>
          <w:lang w:val="en-GB"/>
        </w:rPr>
      </w:pPr>
      <w:r w:rsidRPr="00565531">
        <w:rPr>
          <w:rFonts w:cs="Arial"/>
          <w:lang w:val="en-GB"/>
        </w:rPr>
        <w:t>Stephens, Malcom (1999): The Changing Role of Export Credit Agencies. International Monetary Fund. ISBN 1-55775-801-8.</w:t>
      </w:r>
    </w:p>
    <w:p w14:paraId="79434942" w14:textId="77777777" w:rsidR="00325477" w:rsidRPr="00565531" w:rsidRDefault="00325477" w:rsidP="002923FE">
      <w:pPr>
        <w:spacing w:after="120"/>
        <w:ind w:left="567" w:hanging="567"/>
        <w:jc w:val="left"/>
        <w:rPr>
          <w:rFonts w:cs="Arial"/>
          <w:lang w:val="en-GB"/>
        </w:rPr>
      </w:pPr>
      <w:r w:rsidRPr="00565531">
        <w:rPr>
          <w:rFonts w:cs="Arial"/>
          <w:lang w:val="en-GB"/>
        </w:rPr>
        <w:t xml:space="preserve">TCFD (2017): Recommendations of the Task Force on Climate-related Financial Disclosures. </w:t>
      </w:r>
      <w:hyperlink r:id="rId69" w:history="1">
        <w:r w:rsidRPr="00565531">
          <w:rPr>
            <w:rStyle w:val="Hyperlink"/>
            <w:rFonts w:cs="Arial"/>
            <w:lang w:val="en-GB"/>
          </w:rPr>
          <w:t>https://assets.bbhub.io/company/sites/60/2020/10/FINAL-2017-TCFD-Report-11052018.pdf</w:t>
        </w:r>
      </w:hyperlink>
      <w:r w:rsidRPr="00565531">
        <w:rPr>
          <w:rFonts w:cs="Arial"/>
          <w:lang w:val="en-GB"/>
        </w:rPr>
        <w:t xml:space="preserve"> (accessed August 31, 2021)</w:t>
      </w:r>
    </w:p>
    <w:p w14:paraId="255E60B7" w14:textId="77777777" w:rsidR="00D27942" w:rsidRPr="00565531" w:rsidRDefault="00D27942" w:rsidP="002923FE">
      <w:pPr>
        <w:spacing w:after="120"/>
        <w:ind w:left="567" w:hanging="567"/>
        <w:jc w:val="left"/>
        <w:rPr>
          <w:rFonts w:cs="Arial"/>
          <w:lang w:val="en-GB"/>
        </w:rPr>
      </w:pPr>
      <w:r w:rsidRPr="00565531">
        <w:rPr>
          <w:rFonts w:cs="Arial"/>
          <w:lang w:val="en-GB"/>
        </w:rPr>
        <w:t xml:space="preserve">TEG (2020a): </w:t>
      </w:r>
      <w:r w:rsidR="00E43173" w:rsidRPr="00565531">
        <w:rPr>
          <w:rFonts w:cs="Arial"/>
          <w:lang w:val="en-GB"/>
        </w:rPr>
        <w:t xml:space="preserve">Taxonomy Report: Technical Annex. </w:t>
      </w:r>
      <w:hyperlink r:id="rId70" w:history="1">
        <w:r w:rsidR="00E43173" w:rsidRPr="00565531">
          <w:rPr>
            <w:rStyle w:val="Hyperlink"/>
            <w:rFonts w:cs="Arial"/>
            <w:lang w:val="en-GB"/>
          </w:rPr>
          <w:t>https://ec.europa.eu/info/sites/default/files/business_economy_euro/banking_and_finance/documents/200309-sustainable-finance-teg-final-report-taxonomy-annexes_en.pdf</w:t>
        </w:r>
      </w:hyperlink>
      <w:r w:rsidR="00E43173" w:rsidRPr="00565531">
        <w:rPr>
          <w:rFonts w:cs="Arial"/>
          <w:lang w:val="en-GB"/>
        </w:rPr>
        <w:t xml:space="preserve"> (accessed August 31, 2021) </w:t>
      </w:r>
    </w:p>
    <w:p w14:paraId="30B10A26" w14:textId="77777777" w:rsidR="00D27942" w:rsidRPr="00565531" w:rsidRDefault="00D27942" w:rsidP="002923FE">
      <w:pPr>
        <w:spacing w:after="120"/>
        <w:ind w:left="567" w:hanging="567"/>
        <w:jc w:val="left"/>
        <w:rPr>
          <w:rFonts w:cs="Arial"/>
          <w:lang w:val="en-GB"/>
        </w:rPr>
      </w:pPr>
      <w:r w:rsidRPr="00565531">
        <w:rPr>
          <w:rFonts w:cs="Arial"/>
          <w:lang w:val="en-GB"/>
        </w:rPr>
        <w:t xml:space="preserve">TEG (2020b): </w:t>
      </w:r>
      <w:r w:rsidR="00E43173" w:rsidRPr="00565531">
        <w:rPr>
          <w:rFonts w:cs="Arial"/>
          <w:lang w:val="en-GB"/>
        </w:rPr>
        <w:t>Taxonomy: Final report of the Technical Expert Group on Sustainable Finance. https://ec.europa.eu/info/sites/default/files/business_economy_euro/banking_and_finance/documents/200309-sustainable-finance-teg-final-report-taxonomy_en.pdf (accessed August 31, 2021)</w:t>
      </w:r>
    </w:p>
    <w:p w14:paraId="12DF1A17" w14:textId="77777777" w:rsidR="0033513C" w:rsidRPr="00565531" w:rsidRDefault="0033513C" w:rsidP="00620202">
      <w:pPr>
        <w:spacing w:after="120"/>
        <w:ind w:left="567" w:hanging="567"/>
        <w:jc w:val="left"/>
        <w:rPr>
          <w:rFonts w:cs="Arial"/>
          <w:lang w:val="en-GB"/>
        </w:rPr>
      </w:pPr>
      <w:r w:rsidRPr="00565531">
        <w:rPr>
          <w:rFonts w:cs="Arial"/>
          <w:lang w:val="en-GB"/>
        </w:rPr>
        <w:t xml:space="preserve">UKEF (2021): Task Force on Climate-related Financial Disclosures: UK Export Finance direction statement. </w:t>
      </w:r>
      <w:hyperlink r:id="rId71" w:history="1">
        <w:r w:rsidRPr="00565531">
          <w:rPr>
            <w:rStyle w:val="Hyperlink"/>
            <w:rFonts w:cs="Arial"/>
            <w:lang w:val="en-GB"/>
          </w:rPr>
          <w:t>https://www.gov.uk/government/publications/task-force-on-climate-related-financial-disclosures-uk-export-finance-direction-statement/task-force-on-climate-related-financial-disclosures-uk-export-finance-direction-statement</w:t>
        </w:r>
      </w:hyperlink>
      <w:r w:rsidRPr="00565531">
        <w:rPr>
          <w:rFonts w:cs="Arial"/>
          <w:lang w:val="en-GB"/>
        </w:rPr>
        <w:t xml:space="preserve"> (accessed August 31, 2021)</w:t>
      </w:r>
    </w:p>
    <w:p w14:paraId="13F8A65F" w14:textId="77777777" w:rsidR="00941BF5" w:rsidRPr="00565531" w:rsidRDefault="00941BF5" w:rsidP="002923FE">
      <w:pPr>
        <w:spacing w:after="120"/>
        <w:ind w:left="567" w:hanging="567"/>
        <w:jc w:val="left"/>
        <w:rPr>
          <w:rFonts w:cs="Arial"/>
          <w:lang w:val="en-GB"/>
        </w:rPr>
      </w:pPr>
      <w:r w:rsidRPr="00565531">
        <w:rPr>
          <w:rFonts w:cs="Arial"/>
          <w:lang w:val="en-GB"/>
        </w:rPr>
        <w:t>UN Population Division (2021): Annual Total Population at Mid-Year (thousands). https://population.un.org/wup/DataQuery/ (accessed August 31, 2021)</w:t>
      </w:r>
    </w:p>
    <w:p w14:paraId="45133EF6" w14:textId="77777777" w:rsidR="00E815D4" w:rsidRPr="00565531" w:rsidRDefault="00E815D4" w:rsidP="002923FE">
      <w:pPr>
        <w:spacing w:after="120"/>
        <w:ind w:left="567" w:hanging="567"/>
        <w:jc w:val="left"/>
        <w:rPr>
          <w:rFonts w:cs="Arial"/>
          <w:lang w:val="en-GB"/>
        </w:rPr>
      </w:pPr>
      <w:r w:rsidRPr="00565531">
        <w:rPr>
          <w:rFonts w:cs="Arial"/>
          <w:lang w:val="en-GB"/>
        </w:rPr>
        <w:t>UN</w:t>
      </w:r>
      <w:r w:rsidR="005C188C" w:rsidRPr="00565531">
        <w:rPr>
          <w:rFonts w:cs="Arial"/>
          <w:lang w:val="en-GB"/>
        </w:rPr>
        <w:t>FCCC</w:t>
      </w:r>
      <w:r w:rsidRPr="00565531">
        <w:rPr>
          <w:rFonts w:cs="Arial"/>
          <w:lang w:val="en-GB"/>
        </w:rPr>
        <w:t xml:space="preserve"> (2015): Paris Agreement</w:t>
      </w:r>
      <w:r w:rsidR="002B3A98" w:rsidRPr="00565531">
        <w:rPr>
          <w:rFonts w:cs="Arial"/>
          <w:lang w:val="en-GB"/>
        </w:rPr>
        <w:t xml:space="preserve">, </w:t>
      </w:r>
      <w:hyperlink r:id="rId72" w:history="1">
        <w:r w:rsidR="002B3A98" w:rsidRPr="00565531">
          <w:rPr>
            <w:rStyle w:val="Hyperlink"/>
            <w:rFonts w:cs="Arial"/>
            <w:lang w:val="en-GB"/>
          </w:rPr>
          <w:t>https://unfccc.int/sites/default/files/english_paris_agreement.pdf</w:t>
        </w:r>
      </w:hyperlink>
      <w:r w:rsidRPr="00565531">
        <w:rPr>
          <w:rFonts w:cs="Arial"/>
          <w:lang w:val="en-GB"/>
        </w:rPr>
        <w:t xml:space="preserve">  </w:t>
      </w:r>
      <w:r w:rsidR="00B301B5" w:rsidRPr="00565531">
        <w:rPr>
          <w:rFonts w:cs="Arial"/>
          <w:lang w:val="en-GB"/>
        </w:rPr>
        <w:t>(accessed August 31, 2021)</w:t>
      </w:r>
      <w:r w:rsidR="00B301B5" w:rsidRPr="00565531" w:rsidDel="00B301B5">
        <w:rPr>
          <w:rFonts w:cs="Arial"/>
          <w:lang w:val="en-GB"/>
        </w:rPr>
        <w:t xml:space="preserve"> </w:t>
      </w:r>
    </w:p>
    <w:p w14:paraId="0E6342E7" w14:textId="77777777" w:rsidR="00B301B5" w:rsidRPr="00565531" w:rsidRDefault="00B301B5" w:rsidP="002923FE">
      <w:pPr>
        <w:spacing w:after="120"/>
        <w:ind w:left="426" w:hanging="426"/>
        <w:jc w:val="left"/>
        <w:rPr>
          <w:rFonts w:cs="Arial"/>
          <w:i/>
          <w:lang w:val="en-GB"/>
        </w:rPr>
      </w:pPr>
      <w:proofErr w:type="spellStart"/>
      <w:r w:rsidRPr="00565531">
        <w:rPr>
          <w:rFonts w:cs="Arial"/>
          <w:lang w:val="en-GB"/>
        </w:rPr>
        <w:t>Walbroek</w:t>
      </w:r>
      <w:proofErr w:type="spellEnd"/>
      <w:r w:rsidRPr="00565531">
        <w:rPr>
          <w:rFonts w:cs="Arial"/>
          <w:lang w:val="en-GB"/>
        </w:rPr>
        <w:t xml:space="preserve">, Arjen (2021): Greening Dutch export finance: From policy to business case. </w:t>
      </w:r>
      <w:r w:rsidRPr="00565531">
        <w:rPr>
          <w:rFonts w:cs="Arial"/>
          <w:i/>
          <w:lang w:val="en-GB"/>
        </w:rPr>
        <w:t xml:space="preserve">Berne Union bulletin – Illuminating Climate. </w:t>
      </w:r>
      <w:hyperlink r:id="rId73" w:history="1">
        <w:r w:rsidRPr="00565531">
          <w:rPr>
            <w:rStyle w:val="Hyperlink"/>
            <w:rFonts w:cs="Arial"/>
            <w:i/>
            <w:lang w:val="en-GB"/>
          </w:rPr>
          <w:t>https://www.berneunion.org/Articles/Details/600/Greening-Dutch-export-finance-From-policy-to-business-case</w:t>
        </w:r>
      </w:hyperlink>
      <w:r w:rsidRPr="00565531">
        <w:rPr>
          <w:rFonts w:cs="Arial"/>
          <w:i/>
          <w:lang w:val="en-GB"/>
        </w:rPr>
        <w:t xml:space="preserve"> </w:t>
      </w:r>
      <w:r w:rsidRPr="00565531">
        <w:rPr>
          <w:rFonts w:cs="Arial"/>
          <w:lang w:val="en-GB"/>
        </w:rPr>
        <w:t>(accessed August 31, 2021)</w:t>
      </w:r>
    </w:p>
    <w:p w14:paraId="110A621A" w14:textId="77777777" w:rsidR="000B0C69" w:rsidRPr="00565531" w:rsidRDefault="000B0C69" w:rsidP="002923FE">
      <w:pPr>
        <w:spacing w:after="120"/>
        <w:ind w:left="426" w:hanging="426"/>
        <w:jc w:val="left"/>
        <w:rPr>
          <w:rFonts w:cs="Arial"/>
          <w:lang w:val="en-GB"/>
        </w:rPr>
      </w:pPr>
      <w:proofErr w:type="spellStart"/>
      <w:r w:rsidRPr="00565531">
        <w:rPr>
          <w:rFonts w:cs="Arial"/>
          <w:lang w:val="en-GB"/>
        </w:rPr>
        <w:t>Wenidoppler</w:t>
      </w:r>
      <w:proofErr w:type="spellEnd"/>
      <w:r w:rsidRPr="00565531">
        <w:rPr>
          <w:rFonts w:cs="Arial"/>
          <w:lang w:val="en-GB"/>
        </w:rPr>
        <w:t xml:space="preserve">, Thomas (2017): ECAs go to market - A critical review of transparency and sustainability at seven export credit agencies in Central and Eastern Europe, </w:t>
      </w:r>
      <w:hyperlink r:id="rId74" w:history="1">
        <w:r w:rsidRPr="00565531">
          <w:rPr>
            <w:rStyle w:val="Hyperlink"/>
            <w:rFonts w:cs="Arial"/>
            <w:lang w:val="en-GB"/>
          </w:rPr>
          <w:t>https://bankwatch.org/wp-content/uploads/2018/02/ECAs-go-to-market.pdf</w:t>
        </w:r>
      </w:hyperlink>
      <w:r w:rsidRPr="00565531">
        <w:rPr>
          <w:rFonts w:cs="Arial"/>
          <w:lang w:val="en-GB"/>
        </w:rPr>
        <w:t xml:space="preserve"> (accessed June 14, 2021)</w:t>
      </w:r>
    </w:p>
    <w:p w14:paraId="56622C2D" w14:textId="10591BC2" w:rsidR="00BC5C87" w:rsidRDefault="00B85B67" w:rsidP="002923FE">
      <w:pPr>
        <w:jc w:val="left"/>
        <w:rPr>
          <w:rFonts w:cs="Arial"/>
          <w:lang w:val="en-GB"/>
        </w:rPr>
      </w:pPr>
      <w:r w:rsidRPr="00565531">
        <w:rPr>
          <w:rFonts w:cs="Arial"/>
          <w:lang w:val="en-GB"/>
        </w:rPr>
        <w:lastRenderedPageBreak/>
        <w:t xml:space="preserve">World Bank, The (2021): Exports of goods and services (current US$). </w:t>
      </w:r>
      <w:hyperlink r:id="rId75" w:history="1">
        <w:r w:rsidRPr="00565531">
          <w:rPr>
            <w:rStyle w:val="Hyperlink"/>
            <w:rFonts w:cs="Arial"/>
            <w:lang w:val="en-GB"/>
          </w:rPr>
          <w:t>https://data.worldbank.org/indicator/NE.EXP.GNFS.CD?most_recent_value_desc=true</w:t>
        </w:r>
      </w:hyperlink>
      <w:r w:rsidRPr="00565531">
        <w:rPr>
          <w:rFonts w:cs="Arial"/>
          <w:lang w:val="en-GB"/>
        </w:rPr>
        <w:t xml:space="preserve"> (accessed August 31, 2021)</w:t>
      </w:r>
    </w:p>
    <w:p w14:paraId="458A9FBE" w14:textId="77777777" w:rsidR="00BC5C87" w:rsidRDefault="00BC5C87">
      <w:pPr>
        <w:spacing w:after="0" w:line="240" w:lineRule="auto"/>
        <w:jc w:val="left"/>
        <w:rPr>
          <w:rFonts w:cs="Arial"/>
          <w:lang w:val="en-GB"/>
        </w:rPr>
      </w:pPr>
      <w:r>
        <w:rPr>
          <w:rFonts w:cs="Arial"/>
          <w:lang w:val="en-GB"/>
        </w:rPr>
        <w:br w:type="page"/>
      </w:r>
    </w:p>
    <w:p w14:paraId="78B34488" w14:textId="77777777" w:rsidR="001274B2" w:rsidRPr="00FC1E5A" w:rsidRDefault="001274B2" w:rsidP="002923FE">
      <w:pPr>
        <w:jc w:val="left"/>
        <w:rPr>
          <w:rFonts w:cs="Arial"/>
          <w:lang w:val="en-GB"/>
        </w:rPr>
      </w:pPr>
    </w:p>
    <w:p w14:paraId="0F45A50D" w14:textId="77777777" w:rsidR="001274B2" w:rsidRPr="00FC1E5A" w:rsidRDefault="001274B2" w:rsidP="002923FE">
      <w:pPr>
        <w:jc w:val="left"/>
        <w:rPr>
          <w:rFonts w:cs="Arial"/>
          <w:lang w:val="en-GB"/>
        </w:rPr>
      </w:pPr>
    </w:p>
    <w:p w14:paraId="7DD98A02" w14:textId="77777777" w:rsidR="00091A19" w:rsidRPr="00FC1E5A" w:rsidRDefault="00091A19" w:rsidP="002923FE">
      <w:pPr>
        <w:jc w:val="left"/>
        <w:rPr>
          <w:rFonts w:cs="Arial"/>
          <w:lang w:val="en-GB"/>
        </w:rPr>
      </w:pPr>
    </w:p>
    <w:p w14:paraId="1D9067F7" w14:textId="77777777" w:rsidR="00091A19" w:rsidRPr="00FC1E5A" w:rsidRDefault="00091A19" w:rsidP="002923FE">
      <w:pPr>
        <w:jc w:val="left"/>
        <w:rPr>
          <w:rFonts w:cs="Arial"/>
          <w:lang w:val="en-GB"/>
        </w:rPr>
      </w:pPr>
    </w:p>
    <w:p w14:paraId="47F11E4F" w14:textId="77777777" w:rsidR="00091A19" w:rsidRPr="00FC1E5A" w:rsidRDefault="00091A19" w:rsidP="002923FE">
      <w:pPr>
        <w:jc w:val="left"/>
        <w:rPr>
          <w:rFonts w:cs="Arial"/>
          <w:lang w:val="en-GB"/>
        </w:rPr>
      </w:pPr>
    </w:p>
    <w:p w14:paraId="0824A3A8" w14:textId="77777777" w:rsidR="00091A19" w:rsidRPr="00FC1E5A" w:rsidRDefault="00091A19" w:rsidP="002923FE">
      <w:pPr>
        <w:jc w:val="left"/>
        <w:rPr>
          <w:rFonts w:cs="Arial"/>
          <w:lang w:val="en-GB"/>
        </w:rPr>
      </w:pPr>
    </w:p>
    <w:p w14:paraId="00A7072D" w14:textId="77777777" w:rsidR="00091A19" w:rsidRPr="00FC1E5A" w:rsidRDefault="00091A19" w:rsidP="002923FE">
      <w:pPr>
        <w:jc w:val="left"/>
        <w:rPr>
          <w:rFonts w:cs="Arial"/>
          <w:lang w:val="en-GB"/>
        </w:rPr>
      </w:pPr>
    </w:p>
    <w:p w14:paraId="22CB0418" w14:textId="77777777" w:rsidR="00091A19" w:rsidRPr="00FC1E5A" w:rsidRDefault="00091A19" w:rsidP="002923FE">
      <w:pPr>
        <w:jc w:val="left"/>
        <w:rPr>
          <w:rFonts w:cs="Arial"/>
          <w:lang w:val="en-GB"/>
        </w:rPr>
      </w:pPr>
    </w:p>
    <w:p w14:paraId="6168CFC7" w14:textId="77777777" w:rsidR="00091A19" w:rsidRPr="00FC1E5A" w:rsidRDefault="00091A19" w:rsidP="002923FE">
      <w:pPr>
        <w:jc w:val="left"/>
        <w:rPr>
          <w:rFonts w:cs="Arial"/>
          <w:lang w:val="en-GB"/>
        </w:rPr>
      </w:pPr>
    </w:p>
    <w:p w14:paraId="0CF80071" w14:textId="77777777" w:rsidR="00091A19" w:rsidRPr="00FC1E5A" w:rsidRDefault="00091A19" w:rsidP="002923FE">
      <w:pPr>
        <w:jc w:val="left"/>
        <w:rPr>
          <w:rFonts w:cs="Arial"/>
          <w:lang w:val="en-GB"/>
        </w:rPr>
      </w:pPr>
    </w:p>
    <w:p w14:paraId="2135A381" w14:textId="77777777" w:rsidR="00091A19" w:rsidRPr="00FC1E5A" w:rsidRDefault="00091A19" w:rsidP="002923FE">
      <w:pPr>
        <w:jc w:val="left"/>
        <w:rPr>
          <w:rFonts w:cs="Arial"/>
          <w:lang w:val="en-GB"/>
        </w:rPr>
      </w:pPr>
    </w:p>
    <w:p w14:paraId="21CE4509" w14:textId="77777777" w:rsidR="00091A19" w:rsidRPr="00FC1E5A" w:rsidRDefault="00091A19" w:rsidP="002923FE">
      <w:pPr>
        <w:jc w:val="left"/>
        <w:rPr>
          <w:rFonts w:cs="Arial"/>
          <w:lang w:val="en-GB"/>
        </w:rPr>
      </w:pPr>
    </w:p>
    <w:p w14:paraId="013B3474" w14:textId="77777777" w:rsidR="00091A19" w:rsidRPr="00FC1E5A" w:rsidRDefault="00091A19" w:rsidP="002923FE">
      <w:pPr>
        <w:jc w:val="left"/>
        <w:rPr>
          <w:rFonts w:cs="Arial"/>
          <w:lang w:val="en-GB"/>
        </w:rPr>
      </w:pPr>
    </w:p>
    <w:p w14:paraId="5757F2DF" w14:textId="77777777" w:rsidR="00091A19" w:rsidRPr="00FC1E5A" w:rsidRDefault="00091A19" w:rsidP="002923FE">
      <w:pPr>
        <w:jc w:val="left"/>
        <w:rPr>
          <w:rFonts w:cs="Arial"/>
          <w:lang w:val="en-GB"/>
        </w:rPr>
      </w:pPr>
    </w:p>
    <w:p w14:paraId="640D3FB5" w14:textId="77777777" w:rsidR="00091A19" w:rsidRPr="00FC1E5A" w:rsidRDefault="00091A19" w:rsidP="00091A19">
      <w:pPr>
        <w:jc w:val="right"/>
        <w:rPr>
          <w:rFonts w:cs="Arial"/>
          <w:lang w:val="en-GB"/>
        </w:rPr>
      </w:pPr>
    </w:p>
    <w:p w14:paraId="6B52013B" w14:textId="77777777" w:rsidR="00091A19" w:rsidRPr="00FC1E5A" w:rsidRDefault="00091A19" w:rsidP="00091A19">
      <w:pPr>
        <w:rPr>
          <w:rFonts w:cs="Arial"/>
          <w:lang w:val="en-GB"/>
        </w:rPr>
      </w:pPr>
    </w:p>
    <w:p w14:paraId="440625A6" w14:textId="77777777" w:rsidR="00091A19" w:rsidRPr="00FC1E5A" w:rsidRDefault="00091A19" w:rsidP="00091A19">
      <w:pPr>
        <w:rPr>
          <w:rFonts w:cs="Arial"/>
          <w:lang w:val="en-GB"/>
        </w:rPr>
      </w:pPr>
      <w:r w:rsidRPr="00FC1E5A">
        <w:rPr>
          <w:rFonts w:cs="Arial"/>
          <w:noProof/>
          <w:lang w:val="nl-NL" w:eastAsia="nl-NL"/>
        </w:rPr>
        <w:drawing>
          <wp:anchor distT="0" distB="0" distL="114300" distR="114300" simplePos="0" relativeHeight="251679232" behindDoc="1" locked="0" layoutInCell="1" allowOverlap="1" wp14:anchorId="57C9FDA1" wp14:editId="7B13DFBA">
            <wp:simplePos x="0" y="0"/>
            <wp:positionH relativeFrom="page">
              <wp:posOffset>1192530</wp:posOffset>
            </wp:positionH>
            <wp:positionV relativeFrom="page">
              <wp:posOffset>5532120</wp:posOffset>
            </wp:positionV>
            <wp:extent cx="6092825" cy="5248275"/>
            <wp:effectExtent l="0" t="0" r="317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2825" cy="5248275"/>
                    </a:xfrm>
                    <a:prstGeom prst="rect">
                      <a:avLst/>
                    </a:prstGeom>
                    <a:noFill/>
                    <a:ln>
                      <a:noFill/>
                    </a:ln>
                  </pic:spPr>
                </pic:pic>
              </a:graphicData>
            </a:graphic>
          </wp:anchor>
        </w:drawing>
      </w:r>
      <w:r w:rsidRPr="00FC1E5A">
        <w:rPr>
          <w:rFonts w:cs="Arial"/>
          <w:noProof/>
          <w:lang w:val="nl-NL" w:eastAsia="nl-NL"/>
        </w:rPr>
        <mc:AlternateContent>
          <mc:Choice Requires="wps">
            <w:drawing>
              <wp:anchor distT="0" distB="0" distL="114300" distR="114300" simplePos="0" relativeHeight="251680256" behindDoc="0" locked="0" layoutInCell="1" allowOverlap="1" wp14:anchorId="447AE565" wp14:editId="39BF333A">
                <wp:simplePos x="0" y="0"/>
                <wp:positionH relativeFrom="column">
                  <wp:posOffset>4495673</wp:posOffset>
                </wp:positionH>
                <wp:positionV relativeFrom="page">
                  <wp:posOffset>9363710</wp:posOffset>
                </wp:positionV>
                <wp:extent cx="1925955" cy="1499235"/>
                <wp:effectExtent l="0" t="0" r="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49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B4860" w14:textId="77777777" w:rsidR="009A1BEA" w:rsidRPr="00A00692" w:rsidRDefault="009A1BEA" w:rsidP="00091A19">
                            <w:pPr>
                              <w:spacing w:after="60" w:line="240" w:lineRule="auto"/>
                              <w:rPr>
                                <w:rFonts w:ascii="Trebuchet MS" w:hAnsi="Trebuchet MS" w:cs="Trebuchet MS"/>
                                <w:b/>
                                <w:bCs/>
                                <w:color w:val="FFFFFF" w:themeColor="background1"/>
                                <w:sz w:val="22"/>
                                <w:szCs w:val="22"/>
                              </w:rPr>
                            </w:pPr>
                            <w:r w:rsidRPr="00A00692">
                              <w:rPr>
                                <w:rFonts w:ascii="Trebuchet MS" w:hAnsi="Trebuchet MS" w:cs="Trebuchet MS"/>
                                <w:b/>
                                <w:bCs/>
                                <w:color w:val="FFFFFF" w:themeColor="background1"/>
                                <w:sz w:val="22"/>
                                <w:szCs w:val="22"/>
                              </w:rPr>
                              <w:t xml:space="preserve">Perspectives </w:t>
                            </w:r>
                          </w:p>
                          <w:p w14:paraId="0FE43523" w14:textId="77777777" w:rsidR="009A1BEA" w:rsidRPr="00A00692" w:rsidRDefault="009A1BEA" w:rsidP="00091A19">
                            <w:pPr>
                              <w:spacing w:after="60" w:line="240" w:lineRule="auto"/>
                              <w:rPr>
                                <w:rFonts w:cs="Arial"/>
                                <w:color w:val="FFFFFF" w:themeColor="background1"/>
                                <w:sz w:val="18"/>
                                <w:szCs w:val="18"/>
                              </w:rPr>
                            </w:pPr>
                            <w:r w:rsidRPr="00A00692">
                              <w:rPr>
                                <w:rFonts w:cs="Arial"/>
                                <w:color w:val="FFFFFF" w:themeColor="background1"/>
                                <w:sz w:val="18"/>
                                <w:szCs w:val="18"/>
                              </w:rPr>
                              <w:t>Climate Research</w:t>
                            </w:r>
                          </w:p>
                          <w:p w14:paraId="40D74446" w14:textId="77777777" w:rsidR="009A1BEA" w:rsidRPr="00A00692" w:rsidRDefault="009A1BEA" w:rsidP="00091A19">
                            <w:pPr>
                              <w:spacing w:after="60" w:line="240" w:lineRule="auto"/>
                              <w:rPr>
                                <w:rFonts w:cs="Arial"/>
                                <w:color w:val="FFFFFF" w:themeColor="background1"/>
                                <w:sz w:val="18"/>
                                <w:szCs w:val="18"/>
                              </w:rPr>
                            </w:pPr>
                            <w:proofErr w:type="spellStart"/>
                            <w:r w:rsidRPr="00A00692">
                              <w:rPr>
                                <w:rFonts w:cs="Arial"/>
                                <w:color w:val="FFFFFF" w:themeColor="background1"/>
                                <w:sz w:val="18"/>
                                <w:szCs w:val="18"/>
                              </w:rPr>
                              <w:t>Hugstetter</w:t>
                            </w:r>
                            <w:proofErr w:type="spellEnd"/>
                            <w:r w:rsidRPr="00A00692">
                              <w:rPr>
                                <w:rFonts w:cs="Arial"/>
                                <w:color w:val="FFFFFF" w:themeColor="background1"/>
                                <w:sz w:val="18"/>
                                <w:szCs w:val="18"/>
                              </w:rPr>
                              <w:t xml:space="preserve"> Str. 7</w:t>
                            </w:r>
                          </w:p>
                          <w:p w14:paraId="1D6312FD" w14:textId="77777777" w:rsidR="009A1BEA" w:rsidRPr="00812195" w:rsidRDefault="009A1BEA" w:rsidP="00091A19">
                            <w:pPr>
                              <w:spacing w:after="60" w:line="240" w:lineRule="auto"/>
                              <w:rPr>
                                <w:rFonts w:cs="Arial"/>
                                <w:color w:val="FFFFFF" w:themeColor="background1"/>
                                <w:sz w:val="18"/>
                                <w:szCs w:val="18"/>
                                <w:lang w:val="de-DE"/>
                              </w:rPr>
                            </w:pPr>
                            <w:r w:rsidRPr="00812195">
                              <w:rPr>
                                <w:rFonts w:cs="Arial"/>
                                <w:color w:val="FFFFFF" w:themeColor="background1"/>
                                <w:sz w:val="18"/>
                                <w:szCs w:val="18"/>
                                <w:lang w:val="de-DE"/>
                              </w:rPr>
                              <w:t>79106 Freiburg, Germany</w:t>
                            </w:r>
                          </w:p>
                          <w:p w14:paraId="7CDC3A6A" w14:textId="77777777" w:rsidR="009A1BEA" w:rsidRPr="00812195" w:rsidRDefault="009A1BEA" w:rsidP="00091A19">
                            <w:pPr>
                              <w:spacing w:after="60" w:line="240" w:lineRule="auto"/>
                              <w:rPr>
                                <w:rFonts w:cs="Arial"/>
                                <w:color w:val="FFFFFF" w:themeColor="background1"/>
                                <w:sz w:val="18"/>
                                <w:szCs w:val="18"/>
                                <w:lang w:val="de-DE"/>
                              </w:rPr>
                            </w:pPr>
                            <w:r w:rsidRPr="00812195">
                              <w:rPr>
                                <w:rFonts w:cs="Arial"/>
                                <w:color w:val="FFFFFF" w:themeColor="background1"/>
                                <w:sz w:val="18"/>
                                <w:szCs w:val="18"/>
                                <w:lang w:val="de-DE"/>
                              </w:rPr>
                              <w:t xml:space="preserve">info@perspectives.cc </w:t>
                            </w:r>
                          </w:p>
                          <w:p w14:paraId="27B9F1CA" w14:textId="77777777" w:rsidR="009A1BEA" w:rsidRPr="00812195" w:rsidRDefault="009A1BEA" w:rsidP="00091A19">
                            <w:pPr>
                              <w:spacing w:after="60" w:line="240" w:lineRule="auto"/>
                              <w:rPr>
                                <w:color w:val="FFFFFF" w:themeColor="background1"/>
                                <w:lang w:val="de-DE"/>
                              </w:rPr>
                            </w:pPr>
                            <w:r w:rsidRPr="00812195">
                              <w:rPr>
                                <w:color w:val="FFFFFF" w:themeColor="background1"/>
                                <w:sz w:val="18"/>
                                <w:szCs w:val="18"/>
                                <w:lang w:val="de-DE"/>
                              </w:rPr>
                              <w:t>www.perspectives.cc</w:t>
                            </w:r>
                          </w:p>
                          <w:p w14:paraId="237DA0D6" w14:textId="77777777" w:rsidR="009A1BEA" w:rsidRPr="00812195" w:rsidRDefault="009A1BEA" w:rsidP="00091A19">
                            <w:pPr>
                              <w:rPr>
                                <w:color w:val="FFFFFF" w:themeColor="background1"/>
                                <w:lang w:val="de-D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7AE565" id="Text Box 10" o:spid="_x0000_s1030" type="#_x0000_t202" style="position:absolute;left:0;text-align:left;margin-left:354pt;margin-top:737.3pt;width:151.65pt;height:118.0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" filled="f" stroked="f">
                <v:textbox style="mso-fit-shape-to-text:t">
                  <w:txbxContent>
                    <w:p w14:paraId="140B4860" w14:textId="77777777" w:rsidR="009A1BEA" w:rsidRPr="00A00692" w:rsidRDefault="009A1BEA" w:rsidP="00091A19">
                      <w:pPr>
                        <w:spacing w:after="60" w:line="240" w:lineRule="auto"/>
                        <w:rPr>
                          <w:rFonts w:ascii="Trebuchet MS" w:hAnsi="Trebuchet MS" w:cs="Trebuchet MS"/>
                          <w:b/>
                          <w:bCs/>
                          <w:color w:val="FFFFFF" w:themeColor="background1"/>
                          <w:sz w:val="22"/>
                          <w:szCs w:val="22"/>
                        </w:rPr>
                      </w:pPr>
                      <w:r w:rsidRPr="00A00692">
                        <w:rPr>
                          <w:rFonts w:ascii="Trebuchet MS" w:hAnsi="Trebuchet MS" w:cs="Trebuchet MS"/>
                          <w:b/>
                          <w:bCs/>
                          <w:color w:val="FFFFFF" w:themeColor="background1"/>
                          <w:sz w:val="22"/>
                          <w:szCs w:val="22"/>
                        </w:rPr>
                        <w:t xml:space="preserve">Perspectives </w:t>
                      </w:r>
                    </w:p>
                    <w:p w14:paraId="0FE43523" w14:textId="77777777" w:rsidR="009A1BEA" w:rsidRPr="00A00692" w:rsidRDefault="009A1BEA" w:rsidP="00091A19">
                      <w:pPr>
                        <w:spacing w:after="60" w:line="240" w:lineRule="auto"/>
                        <w:rPr>
                          <w:rFonts w:cs="Arial"/>
                          <w:color w:val="FFFFFF" w:themeColor="background1"/>
                          <w:sz w:val="18"/>
                          <w:szCs w:val="18"/>
                        </w:rPr>
                      </w:pPr>
                      <w:r w:rsidRPr="00A00692">
                        <w:rPr>
                          <w:rFonts w:cs="Arial"/>
                          <w:color w:val="FFFFFF" w:themeColor="background1"/>
                          <w:sz w:val="18"/>
                          <w:szCs w:val="18"/>
                        </w:rPr>
                        <w:t>Climate Research</w:t>
                      </w:r>
                    </w:p>
                    <w:p w14:paraId="40D74446" w14:textId="77777777" w:rsidR="009A1BEA" w:rsidRPr="00A00692" w:rsidRDefault="009A1BEA" w:rsidP="00091A19">
                      <w:pPr>
                        <w:spacing w:after="60" w:line="240" w:lineRule="auto"/>
                        <w:rPr>
                          <w:rFonts w:cs="Arial"/>
                          <w:color w:val="FFFFFF" w:themeColor="background1"/>
                          <w:sz w:val="18"/>
                          <w:szCs w:val="18"/>
                        </w:rPr>
                      </w:pPr>
                      <w:proofErr w:type="spellStart"/>
                      <w:r w:rsidRPr="00A00692">
                        <w:rPr>
                          <w:rFonts w:cs="Arial"/>
                          <w:color w:val="FFFFFF" w:themeColor="background1"/>
                          <w:sz w:val="18"/>
                          <w:szCs w:val="18"/>
                        </w:rPr>
                        <w:t>Hugstetter</w:t>
                      </w:r>
                      <w:proofErr w:type="spellEnd"/>
                      <w:r w:rsidRPr="00A00692">
                        <w:rPr>
                          <w:rFonts w:cs="Arial"/>
                          <w:color w:val="FFFFFF" w:themeColor="background1"/>
                          <w:sz w:val="18"/>
                          <w:szCs w:val="18"/>
                        </w:rPr>
                        <w:t xml:space="preserve"> Str. 7</w:t>
                      </w:r>
                    </w:p>
                    <w:p w14:paraId="1D6312FD" w14:textId="77777777" w:rsidR="009A1BEA" w:rsidRPr="00812195" w:rsidRDefault="009A1BEA" w:rsidP="00091A19">
                      <w:pPr>
                        <w:spacing w:after="60" w:line="240" w:lineRule="auto"/>
                        <w:rPr>
                          <w:rFonts w:cs="Arial"/>
                          <w:color w:val="FFFFFF" w:themeColor="background1"/>
                          <w:sz w:val="18"/>
                          <w:szCs w:val="18"/>
                          <w:lang w:val="de-DE"/>
                        </w:rPr>
                      </w:pPr>
                      <w:r w:rsidRPr="00812195">
                        <w:rPr>
                          <w:rFonts w:cs="Arial"/>
                          <w:color w:val="FFFFFF" w:themeColor="background1"/>
                          <w:sz w:val="18"/>
                          <w:szCs w:val="18"/>
                          <w:lang w:val="de-DE"/>
                        </w:rPr>
                        <w:t>79106 Freiburg, Germany</w:t>
                      </w:r>
                    </w:p>
                    <w:p w14:paraId="7CDC3A6A" w14:textId="77777777" w:rsidR="009A1BEA" w:rsidRPr="00812195" w:rsidRDefault="009A1BEA" w:rsidP="00091A19">
                      <w:pPr>
                        <w:spacing w:after="60" w:line="240" w:lineRule="auto"/>
                        <w:rPr>
                          <w:rFonts w:cs="Arial"/>
                          <w:color w:val="FFFFFF" w:themeColor="background1"/>
                          <w:sz w:val="18"/>
                          <w:szCs w:val="18"/>
                          <w:lang w:val="de-DE"/>
                        </w:rPr>
                      </w:pPr>
                      <w:r w:rsidRPr="00812195">
                        <w:rPr>
                          <w:rFonts w:cs="Arial"/>
                          <w:color w:val="FFFFFF" w:themeColor="background1"/>
                          <w:sz w:val="18"/>
                          <w:szCs w:val="18"/>
                          <w:lang w:val="de-DE"/>
                        </w:rPr>
                        <w:t xml:space="preserve">info@perspectives.cc </w:t>
                      </w:r>
                    </w:p>
                    <w:p w14:paraId="27B9F1CA" w14:textId="77777777" w:rsidR="009A1BEA" w:rsidRPr="00812195" w:rsidRDefault="009A1BEA" w:rsidP="00091A19">
                      <w:pPr>
                        <w:spacing w:after="60" w:line="240" w:lineRule="auto"/>
                        <w:rPr>
                          <w:color w:val="FFFFFF" w:themeColor="background1"/>
                          <w:lang w:val="de-DE"/>
                        </w:rPr>
                      </w:pPr>
                      <w:r w:rsidRPr="00812195">
                        <w:rPr>
                          <w:color w:val="FFFFFF" w:themeColor="background1"/>
                          <w:sz w:val="18"/>
                          <w:szCs w:val="18"/>
                          <w:lang w:val="de-DE"/>
                        </w:rPr>
                        <w:t>www.perspectives.cc</w:t>
                      </w:r>
                    </w:p>
                    <w:p w14:paraId="237DA0D6" w14:textId="77777777" w:rsidR="009A1BEA" w:rsidRPr="00812195" w:rsidRDefault="009A1BEA" w:rsidP="00091A19">
                      <w:pPr>
                        <w:rPr>
                          <w:color w:val="FFFFFF" w:themeColor="background1"/>
                          <w:lang w:val="de-DE"/>
                        </w:rPr>
                      </w:pPr>
                    </w:p>
                  </w:txbxContent>
                </v:textbox>
                <w10:wrap anchory="page"/>
              </v:shape>
            </w:pict>
          </mc:Fallback>
        </mc:AlternateContent>
      </w:r>
    </w:p>
    <w:sectPr w:rsidR="00091A19" w:rsidRPr="00FC1E5A" w:rsidSect="009D0296">
      <w:headerReference w:type="default" r:id="rId76"/>
      <w:footerReference w:type="default" r:id="rId77"/>
      <w:pgSz w:w="11906" w:h="16838" w:code="9"/>
      <w:pgMar w:top="1440" w:right="1440" w:bottom="1440" w:left="1440" w:header="567" w:footer="567" w:gutter="0"/>
      <w:cols w:space="709"/>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2F417" w14:textId="77777777" w:rsidR="00CD437F" w:rsidRDefault="00CD437F" w:rsidP="001E762F">
      <w:r>
        <w:separator/>
      </w:r>
    </w:p>
  </w:endnote>
  <w:endnote w:type="continuationSeparator" w:id="0">
    <w:p w14:paraId="66EB3D73" w14:textId="77777777" w:rsidR="00CD437F" w:rsidRDefault="00CD437F" w:rsidP="001E762F">
      <w:r>
        <w:continuationSeparator/>
      </w:r>
    </w:p>
  </w:endnote>
  <w:endnote w:type="continuationNotice" w:id="1">
    <w:p w14:paraId="6D4D3E24" w14:textId="77777777" w:rsidR="00CD437F" w:rsidRDefault="00CD43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Goth BT">
    <w:altName w:val="Trebuchet MS"/>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032447"/>
      <w:docPartObj>
        <w:docPartGallery w:val="Page Numbers (Bottom of Page)"/>
        <w:docPartUnique/>
      </w:docPartObj>
    </w:sdtPr>
    <w:sdtEndPr>
      <w:rPr>
        <w:rStyle w:val="Seitenzahl"/>
      </w:rPr>
    </w:sdtEndPr>
    <w:sdtContent>
      <w:p w14:paraId="7F6F3D93" w14:textId="77777777" w:rsidR="009A1BEA" w:rsidRDefault="009A1BEA" w:rsidP="009D029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99A3F83" w14:textId="77777777" w:rsidR="009A1BEA" w:rsidRDefault="009A1BEA" w:rsidP="0094327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13671169"/>
      <w:docPartObj>
        <w:docPartGallery w:val="Page Numbers (Bottom of Page)"/>
        <w:docPartUnique/>
      </w:docPartObj>
    </w:sdtPr>
    <w:sdtEndPr>
      <w:rPr>
        <w:rStyle w:val="Seitenzahl"/>
      </w:rPr>
    </w:sdtEndPr>
    <w:sdtContent>
      <w:p w14:paraId="192E358F" w14:textId="13E9F06D" w:rsidR="009A1BEA" w:rsidRDefault="009A1BEA" w:rsidP="002D7C3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FF2A4D">
          <w:rPr>
            <w:rStyle w:val="Seitenzahl"/>
            <w:noProof/>
          </w:rPr>
          <w:t>1</w:t>
        </w:r>
        <w:r>
          <w:rPr>
            <w:rStyle w:val="Seitenzahl"/>
          </w:rPr>
          <w:fldChar w:fldCharType="end"/>
        </w:r>
      </w:p>
    </w:sdtContent>
  </w:sdt>
  <w:p w14:paraId="1CC972C3" w14:textId="77777777" w:rsidR="009A1BEA" w:rsidRDefault="009A1BEA" w:rsidP="0077684C">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836A" w14:textId="55BD9C07" w:rsidR="009A1BEA" w:rsidRPr="00841A64" w:rsidRDefault="009A1BEA" w:rsidP="00C56C33">
    <w:pPr>
      <w:pStyle w:val="Fuzeile"/>
      <w:rPr>
        <w:rFonts w:ascii="Trebuchet MS" w:hAnsi="Trebuchet MS" w:cs="Trebuchet MS"/>
        <w:color w:val="004E7D"/>
        <w:szCs w:val="14"/>
        <w:lang w:val="en-GB"/>
      </w:rPr>
    </w:pPr>
    <w:r>
      <w:rPr>
        <w:noProof/>
        <w:lang w:val="nl-NL" w:eastAsia="nl-NL"/>
      </w:rPr>
      <mc:AlternateContent>
        <mc:Choice Requires="wps">
          <w:drawing>
            <wp:anchor distT="4294967293" distB="4294967293" distL="114300" distR="114300" simplePos="0" relativeHeight="251668992" behindDoc="0" locked="0" layoutInCell="1" allowOverlap="1" wp14:anchorId="4B98C676" wp14:editId="3F026C24">
              <wp:simplePos x="0" y="0"/>
              <wp:positionH relativeFrom="column">
                <wp:posOffset>0</wp:posOffset>
              </wp:positionH>
              <wp:positionV relativeFrom="paragraph">
                <wp:posOffset>-14606</wp:posOffset>
              </wp:positionV>
              <wp:extent cx="5662295" cy="0"/>
              <wp:effectExtent l="0" t="0" r="27305" b="2540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BB26C" id="Line 4" o:spid="_x0000_s1026" style="position:absolute;z-index:25166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15pt" to="445.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nj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"/>
          </w:pict>
        </mc:Fallback>
      </mc:AlternateContent>
    </w:r>
    <w:r w:rsidRPr="00841A64">
      <w:rPr>
        <w:rFonts w:ascii="Trebuchet MS" w:hAnsi="Trebuchet MS" w:cs="Trebuchet MS"/>
        <w:b/>
        <w:bCs/>
        <w:color w:val="004E7D"/>
        <w:lang w:val="en-GB"/>
      </w:rPr>
      <w:t xml:space="preserve">Perspectives Climate Group GmbH </w:t>
    </w:r>
    <w:r w:rsidRPr="00841A64">
      <w:rPr>
        <w:rFonts w:ascii="Trebuchet MS" w:hAnsi="Trebuchet MS" w:cs="Trebuchet MS"/>
        <w:b/>
        <w:bCs/>
        <w:color w:val="004E7D"/>
        <w:lang w:val="en-GB"/>
      </w:rPr>
      <w:tab/>
    </w:r>
    <w:r w:rsidRPr="00841A64">
      <w:rPr>
        <w:lang w:val="en-GB"/>
      </w:rPr>
      <w:t>· www.</w:t>
    </w:r>
    <w:r w:rsidRPr="00841A64">
      <w:rPr>
        <w:szCs w:val="14"/>
        <w:lang w:val="en-GB"/>
      </w:rPr>
      <w:t>perspectives</w:t>
    </w:r>
    <w:r w:rsidRPr="00841A64">
      <w:rPr>
        <w:lang w:val="en-GB"/>
      </w:rPr>
      <w:t xml:space="preserve">.cc </w:t>
    </w:r>
    <w:r w:rsidRPr="00841A64">
      <w:rPr>
        <w:lang w:val="en-GB"/>
      </w:rPr>
      <w:tab/>
      <w:t xml:space="preserve">·info@perspectives.cc    </w:t>
    </w:r>
    <w:r w:rsidRPr="00841A64">
      <w:rPr>
        <w:rStyle w:val="Seitenzahl"/>
        <w:lang w:val="en-GB"/>
      </w:rPr>
      <w:t>Page</w:t>
    </w:r>
    <w:r w:rsidRPr="00841A64">
      <w:rPr>
        <w:rStyle w:val="Seitenzahl"/>
        <w:rFonts w:ascii="Trebuchet MS" w:hAnsi="Trebuchet MS"/>
        <w:szCs w:val="14"/>
        <w:lang w:val="en-GB"/>
      </w:rPr>
      <w:t xml:space="preserve"> </w:t>
    </w:r>
    <w:r w:rsidRPr="00900C1E">
      <w:rPr>
        <w:rStyle w:val="Seitenzahl"/>
        <w:rFonts w:ascii="Trebuchet MS" w:hAnsi="Trebuchet MS"/>
        <w:szCs w:val="14"/>
      </w:rPr>
      <w:fldChar w:fldCharType="begin"/>
    </w:r>
    <w:r w:rsidRPr="00841A64">
      <w:rPr>
        <w:rStyle w:val="Seitenzahl"/>
        <w:rFonts w:ascii="Trebuchet MS" w:hAnsi="Trebuchet MS"/>
        <w:szCs w:val="14"/>
        <w:lang w:val="en-GB"/>
      </w:rPr>
      <w:instrText xml:space="preserve">PAGE  </w:instrText>
    </w:r>
    <w:r w:rsidRPr="00900C1E">
      <w:rPr>
        <w:rStyle w:val="Seitenzahl"/>
        <w:rFonts w:ascii="Trebuchet MS" w:hAnsi="Trebuchet MS"/>
        <w:szCs w:val="14"/>
      </w:rPr>
      <w:fldChar w:fldCharType="separate"/>
    </w:r>
    <w:r w:rsidR="00FF2A4D">
      <w:rPr>
        <w:rStyle w:val="Seitenzahl"/>
        <w:rFonts w:ascii="Trebuchet MS" w:hAnsi="Trebuchet MS"/>
        <w:noProof/>
        <w:szCs w:val="14"/>
        <w:lang w:val="en-GB"/>
      </w:rPr>
      <w:t>2</w:t>
    </w:r>
    <w:r w:rsidRPr="00900C1E">
      <w:rPr>
        <w:rStyle w:val="Seitenzahl"/>
        <w:rFonts w:ascii="Trebuchet MS" w:hAnsi="Trebuchet MS"/>
        <w:szCs w:val="14"/>
      </w:rPr>
      <w:fldChar w:fldCharType="end"/>
    </w:r>
  </w:p>
  <w:p w14:paraId="6D0F26C3" w14:textId="77777777" w:rsidR="009A1BEA" w:rsidRDefault="009A1BE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21521155"/>
      <w:docPartObj>
        <w:docPartGallery w:val="Page Numbers (Bottom of Page)"/>
        <w:docPartUnique/>
      </w:docPartObj>
    </w:sdtPr>
    <w:sdtEndPr>
      <w:rPr>
        <w:rStyle w:val="Seitenzahl"/>
      </w:rPr>
    </w:sdtEndPr>
    <w:sdtContent>
      <w:p w14:paraId="4A74E291" w14:textId="444DC309" w:rsidR="009A1BEA" w:rsidRDefault="009A1BEA" w:rsidP="00872CC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FF2A4D">
          <w:rPr>
            <w:rStyle w:val="Seitenzahl"/>
            <w:noProof/>
          </w:rPr>
          <w:t>32</w:t>
        </w:r>
        <w:r>
          <w:rPr>
            <w:rStyle w:val="Seitenzahl"/>
          </w:rPr>
          <w:fldChar w:fldCharType="end"/>
        </w:r>
      </w:p>
    </w:sdtContent>
  </w:sdt>
  <w:p w14:paraId="0124B32A" w14:textId="77777777" w:rsidR="009A1BEA" w:rsidRPr="008E7F1D" w:rsidRDefault="009A1BEA" w:rsidP="009D0296">
    <w:pPr>
      <w:pStyle w:val="Fuzeile"/>
      <w:ind w:right="360"/>
      <w:rPr>
        <w:rFonts w:ascii="Trebuchet MS" w:hAnsi="Trebuchet MS" w:cs="Trebuchet MS"/>
        <w:color w:val="004E7D"/>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BBBCE" w14:textId="77777777" w:rsidR="00CD437F" w:rsidRDefault="00CD437F" w:rsidP="001E762F">
      <w:r>
        <w:separator/>
      </w:r>
    </w:p>
  </w:footnote>
  <w:footnote w:type="continuationSeparator" w:id="0">
    <w:p w14:paraId="561872C6" w14:textId="77777777" w:rsidR="00CD437F" w:rsidRDefault="00CD437F" w:rsidP="001E762F">
      <w:r>
        <w:continuationSeparator/>
      </w:r>
    </w:p>
  </w:footnote>
  <w:footnote w:type="continuationNotice" w:id="1">
    <w:p w14:paraId="7E2EB94B" w14:textId="77777777" w:rsidR="00CD437F" w:rsidRDefault="00CD437F">
      <w:pPr>
        <w:spacing w:after="0" w:line="240" w:lineRule="auto"/>
      </w:pPr>
    </w:p>
  </w:footnote>
  <w:footnote w:id="2">
    <w:p w14:paraId="74B2F474" w14:textId="47A20CAC" w:rsidR="0026126D" w:rsidRPr="00353DB8" w:rsidRDefault="0026126D" w:rsidP="008B7778">
      <w:pPr>
        <w:pStyle w:val="Funotentext"/>
        <w:rPr>
          <w:sz w:val="16"/>
          <w:szCs w:val="16"/>
          <w:lang w:val="en-GB"/>
        </w:rPr>
      </w:pPr>
      <w:r w:rsidRPr="00353DB8">
        <w:rPr>
          <w:rStyle w:val="Funotenzeichen"/>
          <w:sz w:val="16"/>
          <w:szCs w:val="16"/>
        </w:rPr>
        <w:footnoteRef/>
      </w:r>
      <w:r w:rsidRPr="00353DB8">
        <w:rPr>
          <w:sz w:val="16"/>
          <w:szCs w:val="16"/>
        </w:rPr>
        <w:t xml:space="preserve"> </w:t>
      </w:r>
      <w:r w:rsidRPr="008B7778">
        <w:rPr>
          <w:sz w:val="16"/>
          <w:szCs w:val="16"/>
          <w:lang w:val="en-GB"/>
        </w:rPr>
        <w:t xml:space="preserve">Assessment refers mostly to </w:t>
      </w:r>
      <w:r w:rsidR="00353DB8">
        <w:rPr>
          <w:sz w:val="16"/>
          <w:szCs w:val="16"/>
          <w:lang w:val="en-GB"/>
        </w:rPr>
        <w:t xml:space="preserve">the </w:t>
      </w:r>
      <w:r w:rsidR="00353DB8" w:rsidRPr="00353DB8">
        <w:rPr>
          <w:sz w:val="16"/>
          <w:szCs w:val="16"/>
          <w:lang w:val="en-GB"/>
        </w:rPr>
        <w:t>Dutch ECA Atradius DSB main facility ekv</w:t>
      </w:r>
      <w:r w:rsidRPr="008B7778">
        <w:rPr>
          <w:sz w:val="16"/>
          <w:szCs w:val="16"/>
        </w:rPr>
        <w:t>.</w:t>
      </w:r>
    </w:p>
  </w:footnote>
  <w:footnote w:id="3">
    <w:p w14:paraId="5AFB81A9" w14:textId="77777777" w:rsidR="009A1BEA" w:rsidRPr="00166A15" w:rsidRDefault="009A1BEA" w:rsidP="00EC285E">
      <w:pPr>
        <w:pStyle w:val="Funotentext"/>
        <w:spacing w:after="0"/>
      </w:pPr>
      <w:r w:rsidRPr="008B7778">
        <w:rPr>
          <w:rStyle w:val="Funotenzeichen"/>
          <w:sz w:val="16"/>
          <w:szCs w:val="16"/>
        </w:rPr>
        <w:footnoteRef/>
      </w:r>
      <w:r>
        <w:t xml:space="preserve"> </w:t>
      </w:r>
      <w:r w:rsidRPr="00EC285E">
        <w:rPr>
          <w:sz w:val="16"/>
          <w:szCs w:val="16"/>
        </w:rPr>
        <w:t xml:space="preserve">The Paris Club is </w:t>
      </w:r>
      <w:r>
        <w:rPr>
          <w:sz w:val="16"/>
          <w:szCs w:val="16"/>
        </w:rPr>
        <w:t>‘</w:t>
      </w:r>
      <w:r w:rsidRPr="00EC285E">
        <w:rPr>
          <w:sz w:val="16"/>
          <w:szCs w:val="16"/>
        </w:rPr>
        <w:t>an informal group of official creditors</w:t>
      </w:r>
      <w:r>
        <w:rPr>
          <w:sz w:val="16"/>
          <w:szCs w:val="16"/>
        </w:rPr>
        <w:t>’</w:t>
      </w:r>
      <w:r w:rsidRPr="00EC285E">
        <w:rPr>
          <w:sz w:val="16"/>
          <w:szCs w:val="16"/>
        </w:rPr>
        <w:t xml:space="preserve"> which collects public debt owed by governments to creditor countries. Debt owed by private entities which is guarantees by the public sector (e.g., through ECAs) is comprised by the definition of public debt (Club de Paris 2021).</w:t>
      </w:r>
    </w:p>
  </w:footnote>
  <w:footnote w:id="4">
    <w:p w14:paraId="7DAA0F66" w14:textId="77777777" w:rsidR="009A1BEA" w:rsidRPr="006017FD" w:rsidRDefault="009A1BEA" w:rsidP="00EC285E">
      <w:pPr>
        <w:pStyle w:val="Funotentext"/>
        <w:spacing w:after="0"/>
        <w:rPr>
          <w:rFonts w:ascii="Times New Roman" w:hAnsi="Times New Roman"/>
          <w:lang w:val="en-GB"/>
        </w:rPr>
      </w:pPr>
      <w:r w:rsidRPr="00EC285E">
        <w:rPr>
          <w:rStyle w:val="Funotenzeichen"/>
          <w:rFonts w:cs="Arial"/>
          <w:sz w:val="16"/>
          <w:szCs w:val="16"/>
        </w:rPr>
        <w:footnoteRef/>
      </w:r>
      <w:r w:rsidRPr="00EC285E">
        <w:rPr>
          <w:rFonts w:cs="Arial"/>
          <w:sz w:val="16"/>
          <w:szCs w:val="16"/>
        </w:rPr>
        <w:t xml:space="preserve"> </w:t>
      </w:r>
      <w:r w:rsidRPr="00EC285E">
        <w:rPr>
          <w:rFonts w:cs="Arial"/>
          <w:sz w:val="16"/>
          <w:szCs w:val="16"/>
          <w:lang w:val="en-GB"/>
        </w:rPr>
        <w:t xml:space="preserve">N.V. means </w:t>
      </w:r>
      <w:r w:rsidRPr="00EC285E">
        <w:rPr>
          <w:rFonts w:cs="Arial"/>
          <w:i/>
          <w:sz w:val="16"/>
          <w:szCs w:val="16"/>
          <w:lang w:val="en-GB"/>
        </w:rPr>
        <w:t>Naamloze vennootschap</w:t>
      </w:r>
      <w:r w:rsidRPr="00EC285E">
        <w:rPr>
          <w:rFonts w:cs="Arial"/>
          <w:sz w:val="16"/>
          <w:szCs w:val="16"/>
          <w:lang w:val="en-GB"/>
        </w:rPr>
        <w:t xml:space="preserve"> and corresponds to the Dutch type of publicly held (i.e., with shares tradeable on stock exchange markets) companies, similar to the French </w:t>
      </w:r>
      <w:r w:rsidRPr="00EC285E">
        <w:rPr>
          <w:rFonts w:cs="Arial"/>
          <w:i/>
          <w:sz w:val="16"/>
          <w:szCs w:val="16"/>
          <w:lang w:val="en-GB"/>
        </w:rPr>
        <w:t>Société Anonyme</w:t>
      </w:r>
      <w:r w:rsidRPr="00EC285E">
        <w:rPr>
          <w:rFonts w:cs="Arial"/>
          <w:sz w:val="16"/>
          <w:szCs w:val="16"/>
          <w:lang w:val="en-GB"/>
        </w:rPr>
        <w:t xml:space="preserve"> or the German </w:t>
      </w:r>
      <w:r w:rsidRPr="00EC285E">
        <w:rPr>
          <w:rFonts w:cs="Arial"/>
          <w:i/>
          <w:sz w:val="16"/>
          <w:szCs w:val="16"/>
          <w:lang w:val="en-GB"/>
        </w:rPr>
        <w:t>Aktiengesellschaft</w:t>
      </w:r>
      <w:r w:rsidRPr="00EC285E">
        <w:rPr>
          <w:rFonts w:cs="Arial"/>
          <w:sz w:val="16"/>
          <w:szCs w:val="16"/>
          <w:lang w:val="en-GB"/>
        </w:rPr>
        <w:t xml:space="preserve">. Through its main shareholder </w:t>
      </w:r>
      <w:r w:rsidRPr="00EC285E">
        <w:rPr>
          <w:rFonts w:cs="Arial"/>
          <w:i/>
          <w:iCs/>
          <w:sz w:val="16"/>
          <w:szCs w:val="16"/>
          <w:lang w:val="en-GB"/>
        </w:rPr>
        <w:t xml:space="preserve">Grupo Catalana Occidente </w:t>
      </w:r>
      <w:r w:rsidRPr="00EC285E">
        <w:rPr>
          <w:rFonts w:cs="Arial"/>
          <w:iCs/>
          <w:sz w:val="16"/>
          <w:szCs w:val="16"/>
          <w:lang w:val="en-GB"/>
        </w:rPr>
        <w:t>Atradius N.V. is indirectly linked to the</w:t>
      </w:r>
      <w:r w:rsidRPr="00EC285E">
        <w:rPr>
          <w:rFonts w:cs="Arial"/>
          <w:sz w:val="16"/>
          <w:szCs w:val="16"/>
        </w:rPr>
        <w:t xml:space="preserve"> </w:t>
      </w:r>
      <w:r w:rsidRPr="00EC285E">
        <w:rPr>
          <w:rFonts w:cs="Arial"/>
          <w:iCs/>
          <w:sz w:val="16"/>
          <w:szCs w:val="16"/>
          <w:lang w:val="en-GB"/>
        </w:rPr>
        <w:t>Barcelona and Madrid stock exchanges as part of the IBEX Medium Cap Index (Atradius N.V. 2020).</w:t>
      </w:r>
      <w:r w:rsidRPr="006017FD">
        <w:rPr>
          <w:rFonts w:ascii="Times New Roman" w:hAnsi="Times New Roman"/>
          <w:iCs/>
          <w:lang w:val="en-GB"/>
        </w:rPr>
        <w:t xml:space="preserve"> </w:t>
      </w:r>
    </w:p>
  </w:footnote>
  <w:footnote w:id="5">
    <w:p w14:paraId="001DC88D" w14:textId="77777777" w:rsidR="009A1BEA" w:rsidRPr="008B7778" w:rsidRDefault="009A1BEA" w:rsidP="00EC285E">
      <w:pPr>
        <w:pStyle w:val="Funotentext"/>
        <w:spacing w:after="0"/>
        <w:rPr>
          <w:sz w:val="16"/>
          <w:szCs w:val="16"/>
          <w:lang w:val="en-GB"/>
        </w:rPr>
      </w:pPr>
      <w:r w:rsidRPr="008B7778">
        <w:rPr>
          <w:rStyle w:val="Funotenzeichen"/>
          <w:sz w:val="16"/>
          <w:szCs w:val="16"/>
        </w:rPr>
        <w:footnoteRef/>
      </w:r>
      <w:r w:rsidRPr="008B7778">
        <w:rPr>
          <w:sz w:val="16"/>
          <w:szCs w:val="16"/>
        </w:rPr>
        <w:t xml:space="preserve"> </w:t>
      </w:r>
      <w:r w:rsidRPr="008B7778">
        <w:rPr>
          <w:rFonts w:cs="Arial"/>
          <w:sz w:val="16"/>
          <w:szCs w:val="16"/>
          <w:lang w:val="en-GB"/>
        </w:rPr>
        <w:t xml:space="preserve">Commitments outstanding is a ‘stock parameter’ of the total amounts under cover of all current policies at a given cut-off date (Berne Union 2021). This parameter is reported by Atradius DSB (2021a) as the ‘net real </w:t>
      </w:r>
      <w:r w:rsidRPr="008B7778">
        <w:rPr>
          <w:rFonts w:cs="Arial"/>
          <w:sz w:val="16"/>
          <w:szCs w:val="16"/>
          <w:lang w:val="en-GB"/>
        </w:rPr>
        <w:t>obligo’ (</w:t>
      </w:r>
      <w:r w:rsidRPr="008B7778">
        <w:rPr>
          <w:rFonts w:cs="Arial"/>
          <w:i/>
          <w:sz w:val="16"/>
          <w:szCs w:val="16"/>
          <w:lang w:val="en-GB"/>
        </w:rPr>
        <w:t>netto reëel obligo</w:t>
      </w:r>
      <w:r w:rsidRPr="008B7778">
        <w:rPr>
          <w:rFonts w:cs="Arial"/>
          <w:sz w:val="16"/>
          <w:szCs w:val="16"/>
          <w:lang w:val="en-GB"/>
        </w:rPr>
        <w:t xml:space="preserve">) at the end of December 2020 for the </w:t>
      </w:r>
      <w:r w:rsidRPr="008B7778">
        <w:rPr>
          <w:rFonts w:cs="Arial"/>
          <w:i/>
          <w:sz w:val="16"/>
          <w:szCs w:val="16"/>
          <w:lang w:val="en-GB"/>
        </w:rPr>
        <w:t xml:space="preserve">ekv </w:t>
      </w:r>
      <w:r w:rsidRPr="008B7778">
        <w:rPr>
          <w:rFonts w:cs="Arial"/>
          <w:sz w:val="16"/>
          <w:szCs w:val="16"/>
          <w:lang w:val="en-GB"/>
        </w:rPr>
        <w:t>facility.</w:t>
      </w:r>
    </w:p>
  </w:footnote>
  <w:footnote w:id="6">
    <w:p w14:paraId="11A36C84" w14:textId="77777777" w:rsidR="009A1BEA" w:rsidRPr="008B7778" w:rsidRDefault="009A1BEA" w:rsidP="00EC285E">
      <w:pPr>
        <w:pStyle w:val="Funotentext"/>
        <w:spacing w:after="0"/>
        <w:rPr>
          <w:sz w:val="16"/>
          <w:szCs w:val="16"/>
          <w:lang w:val="en-GB"/>
        </w:rPr>
      </w:pPr>
      <w:r w:rsidRPr="008B7778">
        <w:rPr>
          <w:rStyle w:val="Funotenzeichen"/>
          <w:sz w:val="16"/>
          <w:szCs w:val="16"/>
        </w:rPr>
        <w:footnoteRef/>
      </w:r>
      <w:r w:rsidRPr="008B7778">
        <w:rPr>
          <w:sz w:val="16"/>
          <w:szCs w:val="16"/>
        </w:rPr>
        <w:t xml:space="preserve"> New commitments is a ‘flow parameter’ which refers to the total volume of new insurances, guarantees, loans or other ECA instruments at a given cut-off date (Berne Union 2021). </w:t>
      </w:r>
      <w:r w:rsidRPr="008B7778">
        <w:rPr>
          <w:rFonts w:cs="Arial"/>
          <w:sz w:val="16"/>
          <w:szCs w:val="16"/>
          <w:lang w:val="en-GB"/>
        </w:rPr>
        <w:t xml:space="preserve">This parameter is reported by Atradius DSB (2021a) as the additional nominal risk exposure under promises and notices of cover as well as insurance policies issued in a given year. </w:t>
      </w:r>
    </w:p>
  </w:footnote>
  <w:footnote w:id="7">
    <w:p w14:paraId="4586CCA3" w14:textId="77777777" w:rsidR="009A1BEA" w:rsidRPr="008B7778" w:rsidRDefault="009A1BEA" w:rsidP="00EC285E">
      <w:pPr>
        <w:pStyle w:val="Funotentext"/>
        <w:spacing w:after="0"/>
        <w:rPr>
          <w:sz w:val="16"/>
          <w:szCs w:val="16"/>
          <w:lang w:val="en-GB"/>
        </w:rPr>
      </w:pPr>
      <w:r w:rsidRPr="008B7778">
        <w:rPr>
          <w:rStyle w:val="Funotenzeichen"/>
          <w:sz w:val="16"/>
          <w:szCs w:val="16"/>
        </w:rPr>
        <w:footnoteRef/>
      </w:r>
      <w:r w:rsidRPr="008B7778">
        <w:rPr>
          <w:sz w:val="16"/>
          <w:szCs w:val="16"/>
        </w:rPr>
        <w:t xml:space="preserve"> </w:t>
      </w:r>
      <w:r w:rsidRPr="008B7778">
        <w:rPr>
          <w:sz w:val="16"/>
          <w:szCs w:val="16"/>
          <w:lang w:val="en-GB"/>
        </w:rPr>
        <w:t>Category A projects are referred to those “</w:t>
      </w:r>
      <w:r w:rsidRPr="008B7778">
        <w:rPr>
          <w:i/>
          <w:iCs/>
          <w:sz w:val="16"/>
          <w:szCs w:val="16"/>
          <w:lang w:val="en-GB"/>
        </w:rPr>
        <w:t>which have significant potential adverse environmental and/or social impacts which will be felt beyond the project’s location</w:t>
      </w:r>
      <w:r w:rsidRPr="008B7778">
        <w:rPr>
          <w:sz w:val="16"/>
          <w:szCs w:val="16"/>
          <w:lang w:val="en-GB"/>
        </w:rPr>
        <w:t>” and Category B projects those “</w:t>
      </w:r>
      <w:r w:rsidRPr="008B7778">
        <w:rPr>
          <w:i/>
          <w:iCs/>
          <w:sz w:val="16"/>
          <w:szCs w:val="16"/>
          <w:lang w:val="en-GB"/>
        </w:rPr>
        <w:t>which have less severe potential adverse environmental and/or social impacts and for which measures can be taken to mitigate them</w:t>
      </w:r>
      <w:r w:rsidRPr="008B7778">
        <w:rPr>
          <w:sz w:val="16"/>
          <w:szCs w:val="16"/>
          <w:lang w:val="en-GB"/>
        </w:rPr>
        <w:t>” (Atradius DSB 2021c).</w:t>
      </w:r>
    </w:p>
  </w:footnote>
  <w:footnote w:id="8">
    <w:p w14:paraId="5F655266" w14:textId="77777777" w:rsidR="009A1BEA" w:rsidRPr="002566EC" w:rsidRDefault="009A1BEA">
      <w:pPr>
        <w:pStyle w:val="Funotentext"/>
        <w:rPr>
          <w:lang w:val="en-GB"/>
        </w:rPr>
      </w:pPr>
      <w:r w:rsidRPr="008B7778">
        <w:rPr>
          <w:rStyle w:val="Funotenzeichen"/>
          <w:sz w:val="16"/>
          <w:szCs w:val="16"/>
        </w:rPr>
        <w:footnoteRef/>
      </w:r>
      <w:r w:rsidRPr="008B7778">
        <w:rPr>
          <w:sz w:val="16"/>
          <w:szCs w:val="16"/>
        </w:rPr>
        <w:t xml:space="preserve"> </w:t>
      </w:r>
      <w:r w:rsidRPr="008B7778">
        <w:rPr>
          <w:sz w:val="16"/>
          <w:szCs w:val="16"/>
          <w:lang w:val="en-GB"/>
        </w:rPr>
        <w:t>In January 2021, the Dutch cabinet resigned due to a childcare benefits scandal which is why the Netherlands are currently governed by a ‘</w:t>
      </w:r>
      <w:r w:rsidRPr="008B7778">
        <w:rPr>
          <w:sz w:val="16"/>
          <w:szCs w:val="16"/>
          <w:lang w:val="en-GB"/>
        </w:rPr>
        <w:t>demissionary’ government led by incumbent Prime Minister Mark Rutte. The new members of the House of Representatives have been re-elected in March 2021 and the formation of a new cabinet is currently underway.</w:t>
      </w:r>
    </w:p>
  </w:footnote>
  <w:footnote w:id="9">
    <w:p w14:paraId="63474357" w14:textId="15B30F49" w:rsidR="00254F88" w:rsidRPr="008B7778" w:rsidRDefault="00254F88">
      <w:pPr>
        <w:pStyle w:val="Funotentext"/>
        <w:rPr>
          <w:sz w:val="16"/>
          <w:szCs w:val="16"/>
        </w:rPr>
      </w:pPr>
      <w:r w:rsidRPr="008B7778">
        <w:rPr>
          <w:rStyle w:val="Funotenzeichen"/>
          <w:sz w:val="16"/>
          <w:szCs w:val="16"/>
        </w:rPr>
        <w:footnoteRef/>
      </w:r>
      <w:r w:rsidRPr="008B7778">
        <w:rPr>
          <w:sz w:val="16"/>
          <w:szCs w:val="16"/>
        </w:rPr>
        <w:t xml:space="preserve">   Assessment refers mostly to the Dutch ECA Atradius DSB main facility </w:t>
      </w:r>
      <w:r w:rsidRPr="008B7778">
        <w:rPr>
          <w:sz w:val="16"/>
          <w:szCs w:val="16"/>
        </w:rPr>
        <w:t>ekv.</w:t>
      </w:r>
    </w:p>
  </w:footnote>
  <w:footnote w:id="10">
    <w:p w14:paraId="4D170685" w14:textId="77777777" w:rsidR="009A1BEA" w:rsidRPr="008B7778" w:rsidRDefault="009A1BEA" w:rsidP="008B7778">
      <w:pPr>
        <w:pStyle w:val="Funotentext"/>
        <w:spacing w:after="0"/>
        <w:rPr>
          <w:sz w:val="16"/>
          <w:szCs w:val="16"/>
          <w:lang w:val="en-GB"/>
        </w:rPr>
      </w:pPr>
      <w:r w:rsidRPr="008B7778">
        <w:rPr>
          <w:rStyle w:val="Funotenzeichen"/>
          <w:sz w:val="16"/>
          <w:szCs w:val="16"/>
        </w:rPr>
        <w:footnoteRef/>
      </w:r>
      <w:r w:rsidRPr="008B7778">
        <w:rPr>
          <w:sz w:val="16"/>
          <w:szCs w:val="16"/>
        </w:rPr>
        <w:t xml:space="preserve"> For more information see: </w:t>
      </w:r>
      <w:hyperlink r:id="rId1" w:history="1">
        <w:r w:rsidRPr="008B7778">
          <w:rPr>
            <w:rStyle w:val="Hyperlink"/>
            <w:sz w:val="16"/>
            <w:szCs w:val="16"/>
          </w:rPr>
          <w:t>https://www.unepfi.org/net-zero-insurance/</w:t>
        </w:r>
      </w:hyperlink>
      <w:r w:rsidRPr="008B7778">
        <w:rPr>
          <w:sz w:val="16"/>
          <w:szCs w:val="16"/>
        </w:rPr>
        <w:t xml:space="preserve"> </w:t>
      </w:r>
    </w:p>
  </w:footnote>
  <w:footnote w:id="11">
    <w:p w14:paraId="0761F2A3" w14:textId="77777777" w:rsidR="009A1BEA" w:rsidRPr="008B7778" w:rsidRDefault="009A1BEA" w:rsidP="008B7778">
      <w:pPr>
        <w:pStyle w:val="Funotentext"/>
        <w:rPr>
          <w:sz w:val="16"/>
          <w:szCs w:val="16"/>
          <w:lang w:val="en-GB"/>
        </w:rPr>
      </w:pPr>
      <w:r w:rsidRPr="008B7778">
        <w:rPr>
          <w:rStyle w:val="Funotenzeichen"/>
          <w:sz w:val="16"/>
          <w:szCs w:val="16"/>
        </w:rPr>
        <w:footnoteRef/>
      </w:r>
      <w:r w:rsidRPr="008B7778">
        <w:rPr>
          <w:sz w:val="16"/>
          <w:szCs w:val="16"/>
        </w:rPr>
        <w:t xml:space="preserve"> For more information</w:t>
      </w:r>
      <w:r w:rsidRPr="008B7778" w:rsidDel="00DA2010">
        <w:rPr>
          <w:sz w:val="16"/>
          <w:szCs w:val="16"/>
        </w:rPr>
        <w:t xml:space="preserve"> </w:t>
      </w:r>
      <w:r w:rsidRPr="008B7778">
        <w:rPr>
          <w:sz w:val="16"/>
          <w:szCs w:val="16"/>
        </w:rPr>
        <w:t xml:space="preserve">on the TNFD see: </w:t>
      </w:r>
      <w:hyperlink r:id="rId2" w:history="1">
        <w:r w:rsidRPr="008B7778">
          <w:rPr>
            <w:rStyle w:val="Hyperlink"/>
            <w:sz w:val="16"/>
            <w:szCs w:val="16"/>
          </w:rPr>
          <w:t>https://tnfd.info/</w:t>
        </w:r>
      </w:hyperlink>
      <w:r w:rsidRPr="008B7778">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BD29" w14:textId="77777777" w:rsidR="009A1BEA" w:rsidRDefault="009A1B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5F57" w14:textId="77777777" w:rsidR="009A1BEA" w:rsidRDefault="009A1B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79A0" w14:textId="77777777" w:rsidR="009A1BEA" w:rsidRDefault="009A1BEA" w:rsidP="00A00692">
    <w:pPr>
      <w:pStyle w:val="Kopfzeile"/>
    </w:pPr>
    <w:r>
      <w:rPr>
        <w:noProof/>
        <w:lang w:val="nl-NL" w:eastAsia="nl-NL"/>
      </w:rPr>
      <w:drawing>
        <wp:anchor distT="0" distB="0" distL="114300" distR="114300" simplePos="0" relativeHeight="251672064" behindDoc="0" locked="0" layoutInCell="1" allowOverlap="1" wp14:anchorId="57833C5D" wp14:editId="60AF994B">
          <wp:simplePos x="0" y="0"/>
          <wp:positionH relativeFrom="column">
            <wp:posOffset>4454179</wp:posOffset>
          </wp:positionH>
          <wp:positionV relativeFrom="paragraph">
            <wp:posOffset>9237</wp:posOffset>
          </wp:positionV>
          <wp:extent cx="1135380" cy="474345"/>
          <wp:effectExtent l="0" t="0" r="0" b="0"/>
          <wp:wrapNone/>
          <wp:docPr id="1" name="Bild 4" descr="/Users/MatthiasAlainHonegger/Dropbox (Perspectives)/Perspectives Team Folder/Marketing Team Folder/Marketing_PCG/Logos Marketing_PCG/PC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tthiasAlainHonegger/Dropbox (Perspectives)/Perspectives Team Folder/Marketing Team Folder/Marketing_PCG/Logos Marketing_PCG/PC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84C">
      <w:t>Aligning Export Credit Agencies with the Paris Agreement</w:t>
    </w:r>
  </w:p>
  <w:p w14:paraId="45D49C02" w14:textId="77777777" w:rsidR="009A1BEA" w:rsidRDefault="009A1BEA" w:rsidP="00C56C33">
    <w:pPr>
      <w:pStyle w:val="Fuzeile"/>
      <w:spacing w:after="60" w:line="276"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95E2" w14:textId="77777777" w:rsidR="009A1BEA" w:rsidRPr="00773A8E" w:rsidRDefault="009A1BEA">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1E17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336339"/>
    <w:multiLevelType w:val="hybridMultilevel"/>
    <w:tmpl w:val="5BAE8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448C2"/>
    <w:multiLevelType w:val="hybridMultilevel"/>
    <w:tmpl w:val="5BAE8F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4521FB"/>
    <w:multiLevelType w:val="hybridMultilevel"/>
    <w:tmpl w:val="BBF88E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B21255"/>
    <w:multiLevelType w:val="multilevel"/>
    <w:tmpl w:val="212054FA"/>
    <w:lvl w:ilvl="0">
      <w:start w:val="1"/>
      <w:numFmt w:val="decimal"/>
      <w:pStyle w:val="SDMMethEquationNr"/>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5DF321C"/>
    <w:multiLevelType w:val="multilevel"/>
    <w:tmpl w:val="0407001D"/>
    <w:styleLink w:val="Formatvorlag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C15861"/>
    <w:multiLevelType w:val="multilevel"/>
    <w:tmpl w:val="5EDE06C6"/>
    <w:styleLink w:val="SDMParaList"/>
    <w:lvl w:ilvl="0">
      <w:start w:val="1"/>
      <w:numFmt w:val="decimal"/>
      <w:pStyle w:val="SDMPara"/>
      <w:lvlText w:val="%1."/>
      <w:lvlJc w:val="left"/>
      <w:pPr>
        <w:tabs>
          <w:tab w:val="num" w:pos="709"/>
        </w:tabs>
        <w:ind w:left="709" w:hanging="709"/>
      </w:pPr>
      <w:rPr>
        <w:rFonts w:hint="default"/>
      </w:rPr>
    </w:lvl>
    <w:lvl w:ilvl="1">
      <w:start w:val="1"/>
      <w:numFmt w:val="lowerLetter"/>
      <w:pStyle w:val="SDMSubPara1"/>
      <w:lvlText w:val="(%2)"/>
      <w:lvlJc w:val="left"/>
      <w:pPr>
        <w:tabs>
          <w:tab w:val="num" w:pos="709"/>
        </w:tabs>
        <w:ind w:left="1418" w:hanging="709"/>
      </w:pPr>
      <w:rPr>
        <w:rFonts w:hint="default"/>
      </w:rPr>
    </w:lvl>
    <w:lvl w:ilvl="2">
      <w:start w:val="1"/>
      <w:numFmt w:val="lowerRoman"/>
      <w:pStyle w:val="SDMSubPara2"/>
      <w:lvlText w:val="(%3)"/>
      <w:lvlJc w:val="left"/>
      <w:pPr>
        <w:tabs>
          <w:tab w:val="num" w:pos="709"/>
        </w:tabs>
        <w:ind w:left="1985" w:hanging="567"/>
      </w:pPr>
      <w:rPr>
        <w:rFonts w:hint="default"/>
      </w:rPr>
    </w:lvl>
    <w:lvl w:ilvl="3">
      <w:start w:val="1"/>
      <w:numFmt w:val="lowerLetter"/>
      <w:pStyle w:val="SDMSubPara3"/>
      <w:lvlText w:val="%4."/>
      <w:lvlJc w:val="left"/>
      <w:pPr>
        <w:tabs>
          <w:tab w:val="num" w:pos="709"/>
        </w:tabs>
        <w:ind w:left="2722" w:hanging="596"/>
      </w:pPr>
      <w:rPr>
        <w:rFonts w:hint="default"/>
      </w:rPr>
    </w:lvl>
    <w:lvl w:ilvl="4">
      <w:start w:val="1"/>
      <w:numFmt w:val="lowerRoman"/>
      <w:pStyle w:val="SDMSubPara4"/>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7" w15:restartNumberingAfterBreak="0">
    <w:nsid w:val="19021C42"/>
    <w:multiLevelType w:val="multilevel"/>
    <w:tmpl w:val="9962CB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9922423"/>
    <w:multiLevelType w:val="hybridMultilevel"/>
    <w:tmpl w:val="FC34F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9167D4"/>
    <w:multiLevelType w:val="hybridMultilevel"/>
    <w:tmpl w:val="67BE40C6"/>
    <w:lvl w:ilvl="0" w:tplc="B3CE861C">
      <w:numFmt w:val="bullet"/>
      <w:lvlText w:val="-"/>
      <w:lvlJc w:val="left"/>
      <w:pPr>
        <w:ind w:left="720" w:hanging="360"/>
      </w:pPr>
      <w:rPr>
        <w:rFonts w:ascii="Arial" w:eastAsia="Time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E7156A"/>
    <w:multiLevelType w:val="hybridMultilevel"/>
    <w:tmpl w:val="88D86A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21266A"/>
    <w:multiLevelType w:val="hybridMultilevel"/>
    <w:tmpl w:val="00CA9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6010B5"/>
    <w:multiLevelType w:val="hybridMultilevel"/>
    <w:tmpl w:val="BA06F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933D24"/>
    <w:multiLevelType w:val="hybridMultilevel"/>
    <w:tmpl w:val="BB14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74E84"/>
    <w:multiLevelType w:val="hybridMultilevel"/>
    <w:tmpl w:val="CE96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C71DD"/>
    <w:multiLevelType w:val="hybridMultilevel"/>
    <w:tmpl w:val="52F27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93319A"/>
    <w:multiLevelType w:val="multilevel"/>
    <w:tmpl w:val="1CA65C8A"/>
    <w:lvl w:ilvl="0">
      <w:start w:val="1"/>
      <w:numFmt w:val="decimal"/>
      <w:pStyle w:val="berschrift1"/>
      <w:lvlText w:val="%1."/>
      <w:lvlJc w:val="left"/>
      <w:pPr>
        <w:tabs>
          <w:tab w:val="num" w:pos="360"/>
        </w:tabs>
        <w:ind w:left="360" w:hanging="360"/>
      </w:pPr>
      <w:rPr>
        <w:rFonts w:cs="Times New Roman" w:hint="default"/>
        <w:b/>
        <w:bCs/>
        <w:color w:val="004E7D"/>
        <w:sz w:val="22"/>
      </w:rPr>
    </w:lvl>
    <w:lvl w:ilvl="1">
      <w:start w:val="1"/>
      <w:numFmt w:val="decimal"/>
      <w:pStyle w:val="berschrift2"/>
      <w:lvlText w:val="%1.%2."/>
      <w:lvlJc w:val="left"/>
      <w:pPr>
        <w:tabs>
          <w:tab w:val="num" w:pos="432"/>
        </w:tabs>
        <w:ind w:left="432" w:hanging="432"/>
      </w:pPr>
      <w:rPr>
        <w:rFonts w:cs="Times New Roman" w:hint="default"/>
      </w:rPr>
    </w:lvl>
    <w:lvl w:ilvl="2">
      <w:start w:val="1"/>
      <w:numFmt w:val="decimal"/>
      <w:pStyle w:val="berschrift3"/>
      <w:lvlText w:val="%1.%2.%3."/>
      <w:lvlJc w:val="left"/>
      <w:pPr>
        <w:tabs>
          <w:tab w:val="num" w:pos="788"/>
        </w:tabs>
        <w:ind w:left="788"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9424CAD"/>
    <w:multiLevelType w:val="hybridMultilevel"/>
    <w:tmpl w:val="BF2EF00E"/>
    <w:lvl w:ilvl="0" w:tplc="F0604386">
      <w:numFmt w:val="bullet"/>
      <w:lvlText w:val=""/>
      <w:lvlJc w:val="left"/>
      <w:pPr>
        <w:ind w:left="720" w:hanging="360"/>
      </w:pPr>
      <w:rPr>
        <w:rFonts w:ascii="Wingdings" w:eastAsia="Time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426CA"/>
    <w:multiLevelType w:val="hybridMultilevel"/>
    <w:tmpl w:val="B336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B41BA"/>
    <w:multiLevelType w:val="hybridMultilevel"/>
    <w:tmpl w:val="D1789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80A37"/>
    <w:multiLevelType w:val="hybridMultilevel"/>
    <w:tmpl w:val="07E06C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A22AB3"/>
    <w:multiLevelType w:val="hybridMultilevel"/>
    <w:tmpl w:val="89587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711663"/>
    <w:multiLevelType w:val="hybridMultilevel"/>
    <w:tmpl w:val="0936AEE2"/>
    <w:lvl w:ilvl="0" w:tplc="B3CE861C">
      <w:numFmt w:val="bullet"/>
      <w:lvlText w:val="-"/>
      <w:lvlJc w:val="left"/>
      <w:pPr>
        <w:ind w:left="720" w:hanging="360"/>
      </w:pPr>
      <w:rPr>
        <w:rFonts w:ascii="Arial" w:eastAsia="Time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49285B"/>
    <w:multiLevelType w:val="multilevel"/>
    <w:tmpl w:val="0407001D"/>
    <w:styleLink w:val="Formatvorlage3"/>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EF72B2B"/>
    <w:multiLevelType w:val="hybridMultilevel"/>
    <w:tmpl w:val="F952461C"/>
    <w:lvl w:ilvl="0" w:tplc="0C5A13C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6715BE"/>
    <w:multiLevelType w:val="hybridMultilevel"/>
    <w:tmpl w:val="A4B0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3B6AB8"/>
    <w:multiLevelType w:val="hybridMultilevel"/>
    <w:tmpl w:val="AA505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3451B3"/>
    <w:multiLevelType w:val="hybridMultilevel"/>
    <w:tmpl w:val="F94C7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784EDC"/>
    <w:multiLevelType w:val="hybridMultilevel"/>
    <w:tmpl w:val="3E6C2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A71CFF"/>
    <w:multiLevelType w:val="multilevel"/>
    <w:tmpl w:val="0407001D"/>
    <w:styleLink w:val="Formatvorlag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BE364BE"/>
    <w:multiLevelType w:val="hybridMultilevel"/>
    <w:tmpl w:val="49220C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9D1A8F"/>
    <w:multiLevelType w:val="hybridMultilevel"/>
    <w:tmpl w:val="A7504BFC"/>
    <w:lvl w:ilvl="0" w:tplc="9E8CF1F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1207AA"/>
    <w:multiLevelType w:val="hybridMultilevel"/>
    <w:tmpl w:val="15D052BE"/>
    <w:lvl w:ilvl="0" w:tplc="61AC7208">
      <w:start w:val="6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F05E0"/>
    <w:multiLevelType w:val="hybridMultilevel"/>
    <w:tmpl w:val="0BE49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232AF8"/>
    <w:multiLevelType w:val="hybridMultilevel"/>
    <w:tmpl w:val="B122D34E"/>
    <w:lvl w:ilvl="0" w:tplc="5896E6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D67F7C"/>
    <w:multiLevelType w:val="multilevel"/>
    <w:tmpl w:val="069022DE"/>
    <w:styleLink w:val="FormatvorlageNummerierteListeLateinTrebuchetMS11ptFettBenutz"/>
    <w:lvl w:ilvl="0">
      <w:start w:val="1"/>
      <w:numFmt w:val="upperRoman"/>
      <w:lvlText w:val="%1."/>
      <w:lvlJc w:val="left"/>
      <w:pPr>
        <w:tabs>
          <w:tab w:val="num" w:pos="567"/>
        </w:tabs>
        <w:ind w:left="851" w:hanging="851"/>
      </w:pPr>
      <w:rPr>
        <w:rFonts w:ascii="Trebuchet MS" w:hAnsi="Trebuchet MS" w:cs="Times New Roman" w:hint="default"/>
        <w:b/>
        <w:bCs/>
        <w:color w:val="004E7D"/>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6A285F14"/>
    <w:multiLevelType w:val="hybridMultilevel"/>
    <w:tmpl w:val="300A46B0"/>
    <w:lvl w:ilvl="0" w:tplc="2EFABB0A">
      <w:start w:val="1"/>
      <w:numFmt w:val="decimal"/>
      <w:lvlText w:val="%1."/>
      <w:lvlJc w:val="left"/>
      <w:pPr>
        <w:ind w:left="720" w:hanging="360"/>
      </w:pPr>
      <w:rPr>
        <w:b/>
        <w:b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92DA7"/>
    <w:multiLevelType w:val="multilevel"/>
    <w:tmpl w:val="5EDE06C6"/>
    <w:numStyleLink w:val="SDMParaList"/>
  </w:abstractNum>
  <w:abstractNum w:abstractNumId="38" w15:restartNumberingAfterBreak="0">
    <w:nsid w:val="6D4A6E5F"/>
    <w:multiLevelType w:val="hybridMultilevel"/>
    <w:tmpl w:val="B30A2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281E1E"/>
    <w:multiLevelType w:val="hybridMultilevel"/>
    <w:tmpl w:val="52FE4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C80B23"/>
    <w:multiLevelType w:val="hybridMultilevel"/>
    <w:tmpl w:val="C220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5B7249"/>
    <w:multiLevelType w:val="hybridMultilevel"/>
    <w:tmpl w:val="71C4DDB2"/>
    <w:lvl w:ilvl="0" w:tplc="B9187A20">
      <w:start w:val="1"/>
      <w:numFmt w:val="bullet"/>
      <w:pStyle w:val="standardeinrueck"/>
      <w:lvlText w:val=""/>
      <w:lvlJc w:val="left"/>
      <w:pPr>
        <w:tabs>
          <w:tab w:val="num" w:pos="360"/>
        </w:tabs>
        <w:ind w:left="284" w:hanging="284"/>
      </w:pPr>
      <w:rPr>
        <w:rFonts w:ascii="Wingdings" w:hAnsi="Wingdings" w:hint="default"/>
        <w:caps w:val="0"/>
        <w:strike w:val="0"/>
        <w:dstrike w:val="0"/>
        <w:vanish w:val="0"/>
        <w:color w:val="000000"/>
        <w:sz w:val="20"/>
        <w:vertAlign w:val="baseline"/>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A63A92"/>
    <w:multiLevelType w:val="hybridMultilevel"/>
    <w:tmpl w:val="5DACE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41"/>
  </w:num>
  <w:num w:numId="3">
    <w:abstractNumId w:val="4"/>
    <w:lvlOverride w:ilvl="0">
      <w:lvl w:ilvl="0">
        <w:start w:val="1"/>
        <w:numFmt w:val="decimal"/>
        <w:pStyle w:val="SDMMethEquationNr"/>
        <w:suff w:val="nothing"/>
        <w:lvlText w:val="Equation (%1)"/>
        <w:lvlJc w:val="left"/>
        <w:pPr>
          <w:ind w:left="0" w:firstLine="0"/>
        </w:pPr>
        <w:rPr>
          <w:rFonts w:hint="default"/>
          <w:sz w:val="22"/>
          <w:szCs w:val="22"/>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
    <w:abstractNumId w:val="6"/>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9"/>
  </w:num>
  <w:num w:numId="8">
    <w:abstractNumId w:val="23"/>
  </w:num>
  <w:num w:numId="9">
    <w:abstractNumId w:val="16"/>
  </w:num>
  <w:num w:numId="10">
    <w:abstractNumId w:val="0"/>
  </w:num>
  <w:num w:numId="11">
    <w:abstractNumId w:val="1"/>
  </w:num>
  <w:num w:numId="12">
    <w:abstractNumId w:val="36"/>
  </w:num>
  <w:num w:numId="13">
    <w:abstractNumId w:val="25"/>
  </w:num>
  <w:num w:numId="14">
    <w:abstractNumId w:val="42"/>
  </w:num>
  <w:num w:numId="15">
    <w:abstractNumId w:val="21"/>
  </w:num>
  <w:num w:numId="16">
    <w:abstractNumId w:val="13"/>
  </w:num>
  <w:num w:numId="17">
    <w:abstractNumId w:val="24"/>
  </w:num>
  <w:num w:numId="18">
    <w:abstractNumId w:val="28"/>
  </w:num>
  <w:num w:numId="19">
    <w:abstractNumId w:val="3"/>
  </w:num>
  <w:num w:numId="20">
    <w:abstractNumId w:val="30"/>
  </w:num>
  <w:num w:numId="21">
    <w:abstractNumId w:val="16"/>
  </w:num>
  <w:num w:numId="22">
    <w:abstractNumId w:val="16"/>
  </w:num>
  <w:num w:numId="23">
    <w:abstractNumId w:val="26"/>
  </w:num>
  <w:num w:numId="24">
    <w:abstractNumId w:val="33"/>
  </w:num>
  <w:num w:numId="25">
    <w:abstractNumId w:val="17"/>
  </w:num>
  <w:num w:numId="26">
    <w:abstractNumId w:val="32"/>
  </w:num>
  <w:num w:numId="27">
    <w:abstractNumId w:val="39"/>
  </w:num>
  <w:num w:numId="28">
    <w:abstractNumId w:val="27"/>
  </w:num>
  <w:num w:numId="29">
    <w:abstractNumId w:val="16"/>
  </w:num>
  <w:num w:numId="30">
    <w:abstractNumId w:val="2"/>
  </w:num>
  <w:num w:numId="31">
    <w:abstractNumId w:val="31"/>
  </w:num>
  <w:num w:numId="32">
    <w:abstractNumId w:val="12"/>
  </w:num>
  <w:num w:numId="33">
    <w:abstractNumId w:val="11"/>
  </w:num>
  <w:num w:numId="34">
    <w:abstractNumId w:val="34"/>
  </w:num>
  <w:num w:numId="35">
    <w:abstractNumId w:val="19"/>
  </w:num>
  <w:num w:numId="36">
    <w:abstractNumId w:val="15"/>
  </w:num>
  <w:num w:numId="37">
    <w:abstractNumId w:val="38"/>
  </w:num>
  <w:num w:numId="38">
    <w:abstractNumId w:val="10"/>
  </w:num>
  <w:num w:numId="39">
    <w:abstractNumId w:val="20"/>
  </w:num>
  <w:num w:numId="40">
    <w:abstractNumId w:val="14"/>
  </w:num>
  <w:num w:numId="41">
    <w:abstractNumId w:val="40"/>
  </w:num>
  <w:num w:numId="42">
    <w:abstractNumId w:val="18"/>
  </w:num>
  <w:num w:numId="43">
    <w:abstractNumId w:val="8"/>
  </w:num>
  <w:num w:numId="44">
    <w:abstractNumId w:val="16"/>
  </w:num>
  <w:num w:numId="45">
    <w:abstractNumId w:val="16"/>
  </w:num>
  <w:num w:numId="46">
    <w:abstractNumId w:val="9"/>
  </w:num>
  <w:num w:numId="47">
    <w:abstractNumId w:val="22"/>
  </w:num>
  <w:num w:numId="4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nb-NO" w:vendorID="64" w:dllVersion="4096" w:nlCheck="1" w:checkStyle="0"/>
  <w:activeWritingStyle w:appName="MSWord" w:lang="fr-FR"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nl-NL" w:vendorID="64" w:dllVersion="6" w:nlCheck="1" w:checkStyle="0"/>
  <w:activeWritingStyle w:appName="MSWord" w:lang="de-DE" w:vendorID="64" w:dllVersion="6" w:nlCheck="1" w:checkStyle="0"/>
  <w:activeWritingStyle w:appName="MSWord" w:lang="nl-NL"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31AACB2-DFA7-4B62-B9B5-EB98EC13BAB4}"/>
    <w:docVar w:name="dgnword-eventsink" w:val="99535064"/>
  </w:docVars>
  <w:rsids>
    <w:rsidRoot w:val="00E23D95"/>
    <w:rsid w:val="0000015B"/>
    <w:rsid w:val="00000723"/>
    <w:rsid w:val="00000730"/>
    <w:rsid w:val="00000906"/>
    <w:rsid w:val="00000910"/>
    <w:rsid w:val="00000C51"/>
    <w:rsid w:val="00000DA4"/>
    <w:rsid w:val="0000102A"/>
    <w:rsid w:val="00001324"/>
    <w:rsid w:val="000016F8"/>
    <w:rsid w:val="00001D26"/>
    <w:rsid w:val="00001EA5"/>
    <w:rsid w:val="00001FD0"/>
    <w:rsid w:val="00002A5B"/>
    <w:rsid w:val="00002AE5"/>
    <w:rsid w:val="00002CDF"/>
    <w:rsid w:val="00003032"/>
    <w:rsid w:val="0000333E"/>
    <w:rsid w:val="00003DB9"/>
    <w:rsid w:val="00004279"/>
    <w:rsid w:val="000046CC"/>
    <w:rsid w:val="000046E2"/>
    <w:rsid w:val="00004821"/>
    <w:rsid w:val="000048C3"/>
    <w:rsid w:val="0000498F"/>
    <w:rsid w:val="00004CFE"/>
    <w:rsid w:val="00004F8D"/>
    <w:rsid w:val="000052CD"/>
    <w:rsid w:val="0000537D"/>
    <w:rsid w:val="0000549F"/>
    <w:rsid w:val="000055E3"/>
    <w:rsid w:val="000056D9"/>
    <w:rsid w:val="00005937"/>
    <w:rsid w:val="00005B5C"/>
    <w:rsid w:val="00005E8B"/>
    <w:rsid w:val="00005F37"/>
    <w:rsid w:val="000061A3"/>
    <w:rsid w:val="00006248"/>
    <w:rsid w:val="00006340"/>
    <w:rsid w:val="000067DA"/>
    <w:rsid w:val="00006BAE"/>
    <w:rsid w:val="000071AC"/>
    <w:rsid w:val="000074B0"/>
    <w:rsid w:val="00007AA3"/>
    <w:rsid w:val="0001005D"/>
    <w:rsid w:val="0001014C"/>
    <w:rsid w:val="00010463"/>
    <w:rsid w:val="000105FF"/>
    <w:rsid w:val="000106CB"/>
    <w:rsid w:val="0001070E"/>
    <w:rsid w:val="000109A5"/>
    <w:rsid w:val="00010B2A"/>
    <w:rsid w:val="00010B79"/>
    <w:rsid w:val="00010BFE"/>
    <w:rsid w:val="00010C85"/>
    <w:rsid w:val="00010D7C"/>
    <w:rsid w:val="00010E65"/>
    <w:rsid w:val="000115B4"/>
    <w:rsid w:val="000117B6"/>
    <w:rsid w:val="00011A87"/>
    <w:rsid w:val="00011ACD"/>
    <w:rsid w:val="00011CBD"/>
    <w:rsid w:val="00011E99"/>
    <w:rsid w:val="00011F18"/>
    <w:rsid w:val="00011F83"/>
    <w:rsid w:val="000123D9"/>
    <w:rsid w:val="0001243D"/>
    <w:rsid w:val="000125F9"/>
    <w:rsid w:val="00012813"/>
    <w:rsid w:val="0001287D"/>
    <w:rsid w:val="000129CA"/>
    <w:rsid w:val="00012B9F"/>
    <w:rsid w:val="00012D1B"/>
    <w:rsid w:val="00012DE9"/>
    <w:rsid w:val="0001308E"/>
    <w:rsid w:val="000133EB"/>
    <w:rsid w:val="0001353B"/>
    <w:rsid w:val="000135B3"/>
    <w:rsid w:val="00013A67"/>
    <w:rsid w:val="00013DD0"/>
    <w:rsid w:val="00013E8E"/>
    <w:rsid w:val="00013F12"/>
    <w:rsid w:val="000142F6"/>
    <w:rsid w:val="000144F1"/>
    <w:rsid w:val="000146B0"/>
    <w:rsid w:val="00014889"/>
    <w:rsid w:val="0001527E"/>
    <w:rsid w:val="00015305"/>
    <w:rsid w:val="00015416"/>
    <w:rsid w:val="00015618"/>
    <w:rsid w:val="000156B7"/>
    <w:rsid w:val="000156E3"/>
    <w:rsid w:val="0001570C"/>
    <w:rsid w:val="000158C3"/>
    <w:rsid w:val="00015ADA"/>
    <w:rsid w:val="00015B76"/>
    <w:rsid w:val="00015D42"/>
    <w:rsid w:val="00015D68"/>
    <w:rsid w:val="00015DD7"/>
    <w:rsid w:val="0001604D"/>
    <w:rsid w:val="000160BE"/>
    <w:rsid w:val="000160E1"/>
    <w:rsid w:val="000161C4"/>
    <w:rsid w:val="00016337"/>
    <w:rsid w:val="000166BC"/>
    <w:rsid w:val="00016DB6"/>
    <w:rsid w:val="00016DF1"/>
    <w:rsid w:val="00017038"/>
    <w:rsid w:val="0001725A"/>
    <w:rsid w:val="000177E5"/>
    <w:rsid w:val="00017833"/>
    <w:rsid w:val="00017932"/>
    <w:rsid w:val="000179DB"/>
    <w:rsid w:val="00017C15"/>
    <w:rsid w:val="00017CD4"/>
    <w:rsid w:val="00017F05"/>
    <w:rsid w:val="0002002E"/>
    <w:rsid w:val="000202D4"/>
    <w:rsid w:val="000202E4"/>
    <w:rsid w:val="000202EA"/>
    <w:rsid w:val="0002048D"/>
    <w:rsid w:val="00020819"/>
    <w:rsid w:val="000208F7"/>
    <w:rsid w:val="00020A1A"/>
    <w:rsid w:val="00020E1C"/>
    <w:rsid w:val="00020ECD"/>
    <w:rsid w:val="000211A9"/>
    <w:rsid w:val="00021202"/>
    <w:rsid w:val="0002138D"/>
    <w:rsid w:val="00021867"/>
    <w:rsid w:val="00021B4B"/>
    <w:rsid w:val="000220DD"/>
    <w:rsid w:val="0002259D"/>
    <w:rsid w:val="0002281A"/>
    <w:rsid w:val="00022ABD"/>
    <w:rsid w:val="00022DD4"/>
    <w:rsid w:val="00022E1F"/>
    <w:rsid w:val="00023167"/>
    <w:rsid w:val="000231D2"/>
    <w:rsid w:val="000233A9"/>
    <w:rsid w:val="00023B08"/>
    <w:rsid w:val="00023D3E"/>
    <w:rsid w:val="00024077"/>
    <w:rsid w:val="00024D64"/>
    <w:rsid w:val="00025677"/>
    <w:rsid w:val="0002575C"/>
    <w:rsid w:val="0002599C"/>
    <w:rsid w:val="00025E0A"/>
    <w:rsid w:val="00025F1E"/>
    <w:rsid w:val="00026579"/>
    <w:rsid w:val="000266B2"/>
    <w:rsid w:val="00026A3E"/>
    <w:rsid w:val="00027155"/>
    <w:rsid w:val="0002753A"/>
    <w:rsid w:val="00027C12"/>
    <w:rsid w:val="00027C54"/>
    <w:rsid w:val="00027CD1"/>
    <w:rsid w:val="00027D55"/>
    <w:rsid w:val="0003001E"/>
    <w:rsid w:val="00030110"/>
    <w:rsid w:val="000303FC"/>
    <w:rsid w:val="0003062B"/>
    <w:rsid w:val="00030928"/>
    <w:rsid w:val="000309B9"/>
    <w:rsid w:val="00030A1B"/>
    <w:rsid w:val="00030A61"/>
    <w:rsid w:val="00030BA0"/>
    <w:rsid w:val="00030BBA"/>
    <w:rsid w:val="00031009"/>
    <w:rsid w:val="00031177"/>
    <w:rsid w:val="00031298"/>
    <w:rsid w:val="00031424"/>
    <w:rsid w:val="000314AB"/>
    <w:rsid w:val="00031B9A"/>
    <w:rsid w:val="00031DD5"/>
    <w:rsid w:val="00031E07"/>
    <w:rsid w:val="000326B6"/>
    <w:rsid w:val="000328DE"/>
    <w:rsid w:val="0003294B"/>
    <w:rsid w:val="00032A16"/>
    <w:rsid w:val="00032C21"/>
    <w:rsid w:val="00032D23"/>
    <w:rsid w:val="00032FD4"/>
    <w:rsid w:val="00033197"/>
    <w:rsid w:val="00033825"/>
    <w:rsid w:val="00033ABF"/>
    <w:rsid w:val="00033AC0"/>
    <w:rsid w:val="00033B5F"/>
    <w:rsid w:val="00033E83"/>
    <w:rsid w:val="000342E4"/>
    <w:rsid w:val="0003494C"/>
    <w:rsid w:val="000353CE"/>
    <w:rsid w:val="000357BF"/>
    <w:rsid w:val="00035C67"/>
    <w:rsid w:val="00035E08"/>
    <w:rsid w:val="000360C0"/>
    <w:rsid w:val="000361DB"/>
    <w:rsid w:val="000363BE"/>
    <w:rsid w:val="000363E0"/>
    <w:rsid w:val="00036448"/>
    <w:rsid w:val="0003650E"/>
    <w:rsid w:val="000366A5"/>
    <w:rsid w:val="000367A6"/>
    <w:rsid w:val="000368CC"/>
    <w:rsid w:val="0003695E"/>
    <w:rsid w:val="00036C22"/>
    <w:rsid w:val="00037178"/>
    <w:rsid w:val="0003740D"/>
    <w:rsid w:val="00037661"/>
    <w:rsid w:val="0003768E"/>
    <w:rsid w:val="00037944"/>
    <w:rsid w:val="00037C23"/>
    <w:rsid w:val="000401F9"/>
    <w:rsid w:val="000403DE"/>
    <w:rsid w:val="00040613"/>
    <w:rsid w:val="00040A8A"/>
    <w:rsid w:val="00040BC4"/>
    <w:rsid w:val="0004112B"/>
    <w:rsid w:val="00041135"/>
    <w:rsid w:val="000411D4"/>
    <w:rsid w:val="00041202"/>
    <w:rsid w:val="000412AE"/>
    <w:rsid w:val="000413C9"/>
    <w:rsid w:val="00041E9A"/>
    <w:rsid w:val="00041FD5"/>
    <w:rsid w:val="00042238"/>
    <w:rsid w:val="000422A0"/>
    <w:rsid w:val="00042425"/>
    <w:rsid w:val="000426E5"/>
    <w:rsid w:val="00042746"/>
    <w:rsid w:val="00042BAC"/>
    <w:rsid w:val="00042CC0"/>
    <w:rsid w:val="00042FD9"/>
    <w:rsid w:val="000432F7"/>
    <w:rsid w:val="00043352"/>
    <w:rsid w:val="000433C2"/>
    <w:rsid w:val="00043584"/>
    <w:rsid w:val="0004386F"/>
    <w:rsid w:val="00043A63"/>
    <w:rsid w:val="00043AB5"/>
    <w:rsid w:val="00043AF1"/>
    <w:rsid w:val="00043C8C"/>
    <w:rsid w:val="00043D9A"/>
    <w:rsid w:val="00043F14"/>
    <w:rsid w:val="000441B8"/>
    <w:rsid w:val="00044317"/>
    <w:rsid w:val="00044465"/>
    <w:rsid w:val="00044743"/>
    <w:rsid w:val="00044770"/>
    <w:rsid w:val="00044AFC"/>
    <w:rsid w:val="00044E42"/>
    <w:rsid w:val="0004508B"/>
    <w:rsid w:val="000451B9"/>
    <w:rsid w:val="00045CF8"/>
    <w:rsid w:val="00045DFF"/>
    <w:rsid w:val="000466EB"/>
    <w:rsid w:val="000467F5"/>
    <w:rsid w:val="00046AF2"/>
    <w:rsid w:val="00046B23"/>
    <w:rsid w:val="00046C9C"/>
    <w:rsid w:val="00046CCD"/>
    <w:rsid w:val="00046CDE"/>
    <w:rsid w:val="00046D9E"/>
    <w:rsid w:val="00046E19"/>
    <w:rsid w:val="0004702C"/>
    <w:rsid w:val="00047573"/>
    <w:rsid w:val="000475E1"/>
    <w:rsid w:val="0004780C"/>
    <w:rsid w:val="00047881"/>
    <w:rsid w:val="00047A07"/>
    <w:rsid w:val="00047B2F"/>
    <w:rsid w:val="00047D06"/>
    <w:rsid w:val="0005006B"/>
    <w:rsid w:val="000507A9"/>
    <w:rsid w:val="000509AF"/>
    <w:rsid w:val="00050A45"/>
    <w:rsid w:val="00050C74"/>
    <w:rsid w:val="00050D4F"/>
    <w:rsid w:val="00050F3F"/>
    <w:rsid w:val="00051188"/>
    <w:rsid w:val="000511AD"/>
    <w:rsid w:val="00051280"/>
    <w:rsid w:val="00051353"/>
    <w:rsid w:val="000513C8"/>
    <w:rsid w:val="000518F4"/>
    <w:rsid w:val="00051AB7"/>
    <w:rsid w:val="00051AEA"/>
    <w:rsid w:val="0005202E"/>
    <w:rsid w:val="0005206E"/>
    <w:rsid w:val="00053030"/>
    <w:rsid w:val="0005312E"/>
    <w:rsid w:val="000531C4"/>
    <w:rsid w:val="000533B0"/>
    <w:rsid w:val="00054042"/>
    <w:rsid w:val="000545DE"/>
    <w:rsid w:val="00054A8C"/>
    <w:rsid w:val="00054D91"/>
    <w:rsid w:val="000551AC"/>
    <w:rsid w:val="00055497"/>
    <w:rsid w:val="0005573D"/>
    <w:rsid w:val="000559A9"/>
    <w:rsid w:val="00055B5C"/>
    <w:rsid w:val="00055BBA"/>
    <w:rsid w:val="00056132"/>
    <w:rsid w:val="000561D4"/>
    <w:rsid w:val="000561DF"/>
    <w:rsid w:val="00056218"/>
    <w:rsid w:val="0005631A"/>
    <w:rsid w:val="000564FA"/>
    <w:rsid w:val="00056F33"/>
    <w:rsid w:val="00056F66"/>
    <w:rsid w:val="00056FF8"/>
    <w:rsid w:val="000572DA"/>
    <w:rsid w:val="00057AED"/>
    <w:rsid w:val="00057DC5"/>
    <w:rsid w:val="00060047"/>
    <w:rsid w:val="000600F0"/>
    <w:rsid w:val="00060276"/>
    <w:rsid w:val="00060452"/>
    <w:rsid w:val="000606B3"/>
    <w:rsid w:val="0006079C"/>
    <w:rsid w:val="00060894"/>
    <w:rsid w:val="000609E3"/>
    <w:rsid w:val="00060DC0"/>
    <w:rsid w:val="00060EC7"/>
    <w:rsid w:val="00060F2E"/>
    <w:rsid w:val="00061015"/>
    <w:rsid w:val="0006105E"/>
    <w:rsid w:val="00061199"/>
    <w:rsid w:val="00061228"/>
    <w:rsid w:val="000615BF"/>
    <w:rsid w:val="00061684"/>
    <w:rsid w:val="000616F7"/>
    <w:rsid w:val="00061737"/>
    <w:rsid w:val="00061740"/>
    <w:rsid w:val="00061ABC"/>
    <w:rsid w:val="00061BFE"/>
    <w:rsid w:val="00061DBA"/>
    <w:rsid w:val="00061F56"/>
    <w:rsid w:val="00061F82"/>
    <w:rsid w:val="00062099"/>
    <w:rsid w:val="0006215C"/>
    <w:rsid w:val="000621DC"/>
    <w:rsid w:val="000622AE"/>
    <w:rsid w:val="00062A23"/>
    <w:rsid w:val="00062AAC"/>
    <w:rsid w:val="00062EE9"/>
    <w:rsid w:val="00063232"/>
    <w:rsid w:val="000632ED"/>
    <w:rsid w:val="000635C0"/>
    <w:rsid w:val="00064077"/>
    <w:rsid w:val="00064232"/>
    <w:rsid w:val="000642CC"/>
    <w:rsid w:val="00064860"/>
    <w:rsid w:val="00064B06"/>
    <w:rsid w:val="00065039"/>
    <w:rsid w:val="0006532B"/>
    <w:rsid w:val="000654E2"/>
    <w:rsid w:val="00065757"/>
    <w:rsid w:val="00065953"/>
    <w:rsid w:val="00065AE4"/>
    <w:rsid w:val="00066004"/>
    <w:rsid w:val="0006653C"/>
    <w:rsid w:val="000665AD"/>
    <w:rsid w:val="00066675"/>
    <w:rsid w:val="0006681E"/>
    <w:rsid w:val="00066F26"/>
    <w:rsid w:val="0006711B"/>
    <w:rsid w:val="00067154"/>
    <w:rsid w:val="00067246"/>
    <w:rsid w:val="00067326"/>
    <w:rsid w:val="000675C2"/>
    <w:rsid w:val="00067761"/>
    <w:rsid w:val="0006776B"/>
    <w:rsid w:val="000677F4"/>
    <w:rsid w:val="00067ADC"/>
    <w:rsid w:val="00067C7A"/>
    <w:rsid w:val="00067CA8"/>
    <w:rsid w:val="00067D09"/>
    <w:rsid w:val="00070005"/>
    <w:rsid w:val="0007003B"/>
    <w:rsid w:val="00070361"/>
    <w:rsid w:val="0007072E"/>
    <w:rsid w:val="00070A29"/>
    <w:rsid w:val="00070AF9"/>
    <w:rsid w:val="00070D73"/>
    <w:rsid w:val="00070F50"/>
    <w:rsid w:val="000710B5"/>
    <w:rsid w:val="00071849"/>
    <w:rsid w:val="00071878"/>
    <w:rsid w:val="0007197A"/>
    <w:rsid w:val="00071A0E"/>
    <w:rsid w:val="00071AF1"/>
    <w:rsid w:val="00071B8D"/>
    <w:rsid w:val="00071D65"/>
    <w:rsid w:val="000720FB"/>
    <w:rsid w:val="000721A5"/>
    <w:rsid w:val="000723C7"/>
    <w:rsid w:val="000726C8"/>
    <w:rsid w:val="00072E1C"/>
    <w:rsid w:val="00072FD3"/>
    <w:rsid w:val="00073506"/>
    <w:rsid w:val="0007397B"/>
    <w:rsid w:val="00073ABE"/>
    <w:rsid w:val="00073B92"/>
    <w:rsid w:val="00074682"/>
    <w:rsid w:val="000748E0"/>
    <w:rsid w:val="00074A56"/>
    <w:rsid w:val="00074C99"/>
    <w:rsid w:val="00074F99"/>
    <w:rsid w:val="0007513B"/>
    <w:rsid w:val="0007518F"/>
    <w:rsid w:val="0007524C"/>
    <w:rsid w:val="000757E0"/>
    <w:rsid w:val="000758F5"/>
    <w:rsid w:val="000759DE"/>
    <w:rsid w:val="00075B03"/>
    <w:rsid w:val="00075BB1"/>
    <w:rsid w:val="00075E3C"/>
    <w:rsid w:val="00075FE8"/>
    <w:rsid w:val="000761BC"/>
    <w:rsid w:val="000764EA"/>
    <w:rsid w:val="000765A7"/>
    <w:rsid w:val="000765C7"/>
    <w:rsid w:val="00076823"/>
    <w:rsid w:val="00076918"/>
    <w:rsid w:val="00076C44"/>
    <w:rsid w:val="00076C83"/>
    <w:rsid w:val="00076FC2"/>
    <w:rsid w:val="0007709B"/>
    <w:rsid w:val="000770FB"/>
    <w:rsid w:val="000771D3"/>
    <w:rsid w:val="00077958"/>
    <w:rsid w:val="000800DB"/>
    <w:rsid w:val="0008013F"/>
    <w:rsid w:val="000802B4"/>
    <w:rsid w:val="0008031F"/>
    <w:rsid w:val="00080598"/>
    <w:rsid w:val="00080BD1"/>
    <w:rsid w:val="0008139F"/>
    <w:rsid w:val="00081754"/>
    <w:rsid w:val="00081953"/>
    <w:rsid w:val="000820C9"/>
    <w:rsid w:val="000824B7"/>
    <w:rsid w:val="00082AD5"/>
    <w:rsid w:val="00082EEB"/>
    <w:rsid w:val="0008322E"/>
    <w:rsid w:val="0008340F"/>
    <w:rsid w:val="0008368A"/>
    <w:rsid w:val="0008382F"/>
    <w:rsid w:val="00083986"/>
    <w:rsid w:val="00083991"/>
    <w:rsid w:val="000839BF"/>
    <w:rsid w:val="00083A22"/>
    <w:rsid w:val="00083B5B"/>
    <w:rsid w:val="00083E16"/>
    <w:rsid w:val="000841B3"/>
    <w:rsid w:val="000847DB"/>
    <w:rsid w:val="00084D71"/>
    <w:rsid w:val="00084F71"/>
    <w:rsid w:val="0008519B"/>
    <w:rsid w:val="000851B5"/>
    <w:rsid w:val="00085888"/>
    <w:rsid w:val="000858F3"/>
    <w:rsid w:val="00085B07"/>
    <w:rsid w:val="00085B9E"/>
    <w:rsid w:val="00085C14"/>
    <w:rsid w:val="00086152"/>
    <w:rsid w:val="00086156"/>
    <w:rsid w:val="000862AF"/>
    <w:rsid w:val="00086750"/>
    <w:rsid w:val="00086FCB"/>
    <w:rsid w:val="0008716F"/>
    <w:rsid w:val="000871E3"/>
    <w:rsid w:val="00087A6F"/>
    <w:rsid w:val="00087D65"/>
    <w:rsid w:val="00090029"/>
    <w:rsid w:val="000900CC"/>
    <w:rsid w:val="0009021A"/>
    <w:rsid w:val="0009051C"/>
    <w:rsid w:val="00090A2E"/>
    <w:rsid w:val="00090B9D"/>
    <w:rsid w:val="00090C00"/>
    <w:rsid w:val="00091082"/>
    <w:rsid w:val="00091723"/>
    <w:rsid w:val="00091995"/>
    <w:rsid w:val="00091A19"/>
    <w:rsid w:val="00091B18"/>
    <w:rsid w:val="00091EC2"/>
    <w:rsid w:val="00092179"/>
    <w:rsid w:val="000922D2"/>
    <w:rsid w:val="000922E0"/>
    <w:rsid w:val="0009252E"/>
    <w:rsid w:val="00092929"/>
    <w:rsid w:val="0009294B"/>
    <w:rsid w:val="00092CCB"/>
    <w:rsid w:val="00092EB7"/>
    <w:rsid w:val="00092FB1"/>
    <w:rsid w:val="0009305A"/>
    <w:rsid w:val="00093286"/>
    <w:rsid w:val="0009342C"/>
    <w:rsid w:val="000934E6"/>
    <w:rsid w:val="00093B56"/>
    <w:rsid w:val="00093C64"/>
    <w:rsid w:val="00093F9F"/>
    <w:rsid w:val="00093FA5"/>
    <w:rsid w:val="000941CD"/>
    <w:rsid w:val="0009444E"/>
    <w:rsid w:val="0009446B"/>
    <w:rsid w:val="0009454D"/>
    <w:rsid w:val="0009486F"/>
    <w:rsid w:val="00094AF5"/>
    <w:rsid w:val="00094CA7"/>
    <w:rsid w:val="00094ECB"/>
    <w:rsid w:val="0009580E"/>
    <w:rsid w:val="00095857"/>
    <w:rsid w:val="00095858"/>
    <w:rsid w:val="000958AB"/>
    <w:rsid w:val="00095B49"/>
    <w:rsid w:val="00095D28"/>
    <w:rsid w:val="00095E6A"/>
    <w:rsid w:val="00095EFC"/>
    <w:rsid w:val="00096100"/>
    <w:rsid w:val="00096377"/>
    <w:rsid w:val="00096470"/>
    <w:rsid w:val="00096693"/>
    <w:rsid w:val="00096761"/>
    <w:rsid w:val="00096798"/>
    <w:rsid w:val="00096911"/>
    <w:rsid w:val="00096B85"/>
    <w:rsid w:val="00096F75"/>
    <w:rsid w:val="00097057"/>
    <w:rsid w:val="000974CF"/>
    <w:rsid w:val="00097F7F"/>
    <w:rsid w:val="000A0266"/>
    <w:rsid w:val="000A0335"/>
    <w:rsid w:val="000A061C"/>
    <w:rsid w:val="000A07B2"/>
    <w:rsid w:val="000A0A4F"/>
    <w:rsid w:val="000A0A52"/>
    <w:rsid w:val="000A0BC1"/>
    <w:rsid w:val="000A0F31"/>
    <w:rsid w:val="000A109E"/>
    <w:rsid w:val="000A10AC"/>
    <w:rsid w:val="000A13A3"/>
    <w:rsid w:val="000A154C"/>
    <w:rsid w:val="000A18A4"/>
    <w:rsid w:val="000A1992"/>
    <w:rsid w:val="000A1C85"/>
    <w:rsid w:val="000A256F"/>
    <w:rsid w:val="000A2734"/>
    <w:rsid w:val="000A2A7C"/>
    <w:rsid w:val="000A2E70"/>
    <w:rsid w:val="000A3086"/>
    <w:rsid w:val="000A3142"/>
    <w:rsid w:val="000A3227"/>
    <w:rsid w:val="000A32E8"/>
    <w:rsid w:val="000A3351"/>
    <w:rsid w:val="000A3A8B"/>
    <w:rsid w:val="000A3B6A"/>
    <w:rsid w:val="000A3BF9"/>
    <w:rsid w:val="000A4341"/>
    <w:rsid w:val="000A449F"/>
    <w:rsid w:val="000A44A9"/>
    <w:rsid w:val="000A4575"/>
    <w:rsid w:val="000A45DB"/>
    <w:rsid w:val="000A498B"/>
    <w:rsid w:val="000A499B"/>
    <w:rsid w:val="000A49A0"/>
    <w:rsid w:val="000A5253"/>
    <w:rsid w:val="000A542C"/>
    <w:rsid w:val="000A571F"/>
    <w:rsid w:val="000A5B16"/>
    <w:rsid w:val="000A5D0D"/>
    <w:rsid w:val="000A5E14"/>
    <w:rsid w:val="000A5F9E"/>
    <w:rsid w:val="000A6201"/>
    <w:rsid w:val="000A6604"/>
    <w:rsid w:val="000A69E5"/>
    <w:rsid w:val="000A6A9E"/>
    <w:rsid w:val="000A6E2F"/>
    <w:rsid w:val="000A7021"/>
    <w:rsid w:val="000A72B5"/>
    <w:rsid w:val="000A7321"/>
    <w:rsid w:val="000A7542"/>
    <w:rsid w:val="000A770F"/>
    <w:rsid w:val="000A788B"/>
    <w:rsid w:val="000A79B8"/>
    <w:rsid w:val="000A7ACD"/>
    <w:rsid w:val="000A7DB5"/>
    <w:rsid w:val="000A7E79"/>
    <w:rsid w:val="000B0146"/>
    <w:rsid w:val="000B02A5"/>
    <w:rsid w:val="000B0446"/>
    <w:rsid w:val="000B0820"/>
    <w:rsid w:val="000B08D8"/>
    <w:rsid w:val="000B09B1"/>
    <w:rsid w:val="000B0A1F"/>
    <w:rsid w:val="000B0C5D"/>
    <w:rsid w:val="000B0C69"/>
    <w:rsid w:val="000B0E07"/>
    <w:rsid w:val="000B1140"/>
    <w:rsid w:val="000B14F5"/>
    <w:rsid w:val="000B1683"/>
    <w:rsid w:val="000B198D"/>
    <w:rsid w:val="000B1AC3"/>
    <w:rsid w:val="000B1C5B"/>
    <w:rsid w:val="000B1FA4"/>
    <w:rsid w:val="000B1FBD"/>
    <w:rsid w:val="000B202F"/>
    <w:rsid w:val="000B20F4"/>
    <w:rsid w:val="000B2104"/>
    <w:rsid w:val="000B21E5"/>
    <w:rsid w:val="000B23C4"/>
    <w:rsid w:val="000B2886"/>
    <w:rsid w:val="000B2A9B"/>
    <w:rsid w:val="000B2AA4"/>
    <w:rsid w:val="000B2AA7"/>
    <w:rsid w:val="000B2B45"/>
    <w:rsid w:val="000B2EBA"/>
    <w:rsid w:val="000B2F07"/>
    <w:rsid w:val="000B301B"/>
    <w:rsid w:val="000B3103"/>
    <w:rsid w:val="000B3907"/>
    <w:rsid w:val="000B3A03"/>
    <w:rsid w:val="000B3DD2"/>
    <w:rsid w:val="000B45AD"/>
    <w:rsid w:val="000B4F5B"/>
    <w:rsid w:val="000B5281"/>
    <w:rsid w:val="000B5849"/>
    <w:rsid w:val="000B6015"/>
    <w:rsid w:val="000B6413"/>
    <w:rsid w:val="000B64C6"/>
    <w:rsid w:val="000B66B3"/>
    <w:rsid w:val="000B69AF"/>
    <w:rsid w:val="000B6B83"/>
    <w:rsid w:val="000B6BB4"/>
    <w:rsid w:val="000B7165"/>
    <w:rsid w:val="000B71CE"/>
    <w:rsid w:val="000B71D2"/>
    <w:rsid w:val="000B7942"/>
    <w:rsid w:val="000B7ADF"/>
    <w:rsid w:val="000B7B8C"/>
    <w:rsid w:val="000B7D08"/>
    <w:rsid w:val="000B7D29"/>
    <w:rsid w:val="000B7E3A"/>
    <w:rsid w:val="000B7E95"/>
    <w:rsid w:val="000C05DF"/>
    <w:rsid w:val="000C07DF"/>
    <w:rsid w:val="000C0826"/>
    <w:rsid w:val="000C0897"/>
    <w:rsid w:val="000C0986"/>
    <w:rsid w:val="000C0BCD"/>
    <w:rsid w:val="000C0D43"/>
    <w:rsid w:val="000C12FF"/>
    <w:rsid w:val="000C14FF"/>
    <w:rsid w:val="000C1667"/>
    <w:rsid w:val="000C1BC5"/>
    <w:rsid w:val="000C1CC8"/>
    <w:rsid w:val="000C1D49"/>
    <w:rsid w:val="000C203A"/>
    <w:rsid w:val="000C212B"/>
    <w:rsid w:val="000C24BA"/>
    <w:rsid w:val="000C3140"/>
    <w:rsid w:val="000C349C"/>
    <w:rsid w:val="000C34AE"/>
    <w:rsid w:val="000C35EB"/>
    <w:rsid w:val="000C3981"/>
    <w:rsid w:val="000C39F5"/>
    <w:rsid w:val="000C3C59"/>
    <w:rsid w:val="000C40D8"/>
    <w:rsid w:val="000C42FE"/>
    <w:rsid w:val="000C4475"/>
    <w:rsid w:val="000C4899"/>
    <w:rsid w:val="000C494A"/>
    <w:rsid w:val="000C4BBE"/>
    <w:rsid w:val="000C5144"/>
    <w:rsid w:val="000C5389"/>
    <w:rsid w:val="000C54FF"/>
    <w:rsid w:val="000C5B1C"/>
    <w:rsid w:val="000C63DB"/>
    <w:rsid w:val="000C6617"/>
    <w:rsid w:val="000C66A6"/>
    <w:rsid w:val="000C6923"/>
    <w:rsid w:val="000C699F"/>
    <w:rsid w:val="000C7355"/>
    <w:rsid w:val="000C73BD"/>
    <w:rsid w:val="000C7539"/>
    <w:rsid w:val="000C79FC"/>
    <w:rsid w:val="000C7DF6"/>
    <w:rsid w:val="000D0191"/>
    <w:rsid w:val="000D04D8"/>
    <w:rsid w:val="000D0525"/>
    <w:rsid w:val="000D0800"/>
    <w:rsid w:val="000D0915"/>
    <w:rsid w:val="000D0A6B"/>
    <w:rsid w:val="000D101E"/>
    <w:rsid w:val="000D1088"/>
    <w:rsid w:val="000D1275"/>
    <w:rsid w:val="000D1443"/>
    <w:rsid w:val="000D17A2"/>
    <w:rsid w:val="000D1BD0"/>
    <w:rsid w:val="000D1E57"/>
    <w:rsid w:val="000D1E85"/>
    <w:rsid w:val="000D202F"/>
    <w:rsid w:val="000D23F6"/>
    <w:rsid w:val="000D254F"/>
    <w:rsid w:val="000D26AD"/>
    <w:rsid w:val="000D2A5D"/>
    <w:rsid w:val="000D2B16"/>
    <w:rsid w:val="000D2EF1"/>
    <w:rsid w:val="000D2F62"/>
    <w:rsid w:val="000D3208"/>
    <w:rsid w:val="000D328F"/>
    <w:rsid w:val="000D32A4"/>
    <w:rsid w:val="000D332C"/>
    <w:rsid w:val="000D38BA"/>
    <w:rsid w:val="000D39E8"/>
    <w:rsid w:val="000D3AB5"/>
    <w:rsid w:val="000D3C71"/>
    <w:rsid w:val="000D3F06"/>
    <w:rsid w:val="000D4102"/>
    <w:rsid w:val="000D44AE"/>
    <w:rsid w:val="000D4583"/>
    <w:rsid w:val="000D45B9"/>
    <w:rsid w:val="000D486E"/>
    <w:rsid w:val="000D4960"/>
    <w:rsid w:val="000D49AB"/>
    <w:rsid w:val="000D4BEC"/>
    <w:rsid w:val="000D4CCC"/>
    <w:rsid w:val="000D5259"/>
    <w:rsid w:val="000D539F"/>
    <w:rsid w:val="000D552F"/>
    <w:rsid w:val="000D5597"/>
    <w:rsid w:val="000D56D8"/>
    <w:rsid w:val="000D5D00"/>
    <w:rsid w:val="000D5F41"/>
    <w:rsid w:val="000D619C"/>
    <w:rsid w:val="000D6269"/>
    <w:rsid w:val="000D65C7"/>
    <w:rsid w:val="000D6777"/>
    <w:rsid w:val="000D6B96"/>
    <w:rsid w:val="000D6D71"/>
    <w:rsid w:val="000D7311"/>
    <w:rsid w:val="000D7F9B"/>
    <w:rsid w:val="000E0221"/>
    <w:rsid w:val="000E131E"/>
    <w:rsid w:val="000E196A"/>
    <w:rsid w:val="000E1BDC"/>
    <w:rsid w:val="000E1C54"/>
    <w:rsid w:val="000E1EC3"/>
    <w:rsid w:val="000E1ECB"/>
    <w:rsid w:val="000E1F40"/>
    <w:rsid w:val="000E2089"/>
    <w:rsid w:val="000E2213"/>
    <w:rsid w:val="000E2391"/>
    <w:rsid w:val="000E241F"/>
    <w:rsid w:val="000E2574"/>
    <w:rsid w:val="000E2600"/>
    <w:rsid w:val="000E2874"/>
    <w:rsid w:val="000E2AEA"/>
    <w:rsid w:val="000E2B26"/>
    <w:rsid w:val="000E2D47"/>
    <w:rsid w:val="000E2E26"/>
    <w:rsid w:val="000E2EF2"/>
    <w:rsid w:val="000E3E89"/>
    <w:rsid w:val="000E4023"/>
    <w:rsid w:val="000E4026"/>
    <w:rsid w:val="000E40E0"/>
    <w:rsid w:val="000E43CD"/>
    <w:rsid w:val="000E4492"/>
    <w:rsid w:val="000E47C5"/>
    <w:rsid w:val="000E4AD5"/>
    <w:rsid w:val="000E4AE8"/>
    <w:rsid w:val="000E5099"/>
    <w:rsid w:val="000E518C"/>
    <w:rsid w:val="000E5488"/>
    <w:rsid w:val="000E57BD"/>
    <w:rsid w:val="000E5822"/>
    <w:rsid w:val="000E5AD6"/>
    <w:rsid w:val="000E5E26"/>
    <w:rsid w:val="000E6075"/>
    <w:rsid w:val="000E679C"/>
    <w:rsid w:val="000E6809"/>
    <w:rsid w:val="000E6D5B"/>
    <w:rsid w:val="000E6E16"/>
    <w:rsid w:val="000E6EFE"/>
    <w:rsid w:val="000E6FE3"/>
    <w:rsid w:val="000E718B"/>
    <w:rsid w:val="000E71AB"/>
    <w:rsid w:val="000E7846"/>
    <w:rsid w:val="000E7BD4"/>
    <w:rsid w:val="000E7E11"/>
    <w:rsid w:val="000E7E67"/>
    <w:rsid w:val="000F007F"/>
    <w:rsid w:val="000F00E4"/>
    <w:rsid w:val="000F0211"/>
    <w:rsid w:val="000F0234"/>
    <w:rsid w:val="000F0394"/>
    <w:rsid w:val="000F0505"/>
    <w:rsid w:val="000F0748"/>
    <w:rsid w:val="000F086D"/>
    <w:rsid w:val="000F104D"/>
    <w:rsid w:val="000F1236"/>
    <w:rsid w:val="000F13BD"/>
    <w:rsid w:val="000F1484"/>
    <w:rsid w:val="000F1722"/>
    <w:rsid w:val="000F1841"/>
    <w:rsid w:val="000F184D"/>
    <w:rsid w:val="000F1B88"/>
    <w:rsid w:val="000F1CE0"/>
    <w:rsid w:val="000F1FB2"/>
    <w:rsid w:val="000F22ED"/>
    <w:rsid w:val="000F2700"/>
    <w:rsid w:val="000F2A02"/>
    <w:rsid w:val="000F2A81"/>
    <w:rsid w:val="000F2C1E"/>
    <w:rsid w:val="000F2C96"/>
    <w:rsid w:val="000F2DBC"/>
    <w:rsid w:val="000F2ECC"/>
    <w:rsid w:val="000F301E"/>
    <w:rsid w:val="000F332C"/>
    <w:rsid w:val="000F3416"/>
    <w:rsid w:val="000F43DA"/>
    <w:rsid w:val="000F4997"/>
    <w:rsid w:val="000F5015"/>
    <w:rsid w:val="000F5084"/>
    <w:rsid w:val="000F53F8"/>
    <w:rsid w:val="000F5C4E"/>
    <w:rsid w:val="000F5C50"/>
    <w:rsid w:val="000F5EF2"/>
    <w:rsid w:val="000F60A0"/>
    <w:rsid w:val="000F6178"/>
    <w:rsid w:val="000F644B"/>
    <w:rsid w:val="000F6655"/>
    <w:rsid w:val="000F729A"/>
    <w:rsid w:val="000F72D0"/>
    <w:rsid w:val="000F72D8"/>
    <w:rsid w:val="000F77E0"/>
    <w:rsid w:val="000F78FC"/>
    <w:rsid w:val="000F7ABF"/>
    <w:rsid w:val="000F7E7C"/>
    <w:rsid w:val="001001FB"/>
    <w:rsid w:val="00100AEB"/>
    <w:rsid w:val="00100C93"/>
    <w:rsid w:val="00100E12"/>
    <w:rsid w:val="001017C5"/>
    <w:rsid w:val="00101869"/>
    <w:rsid w:val="001019B1"/>
    <w:rsid w:val="00101A2B"/>
    <w:rsid w:val="00101A34"/>
    <w:rsid w:val="00101B17"/>
    <w:rsid w:val="00101B72"/>
    <w:rsid w:val="00101B8E"/>
    <w:rsid w:val="0010255F"/>
    <w:rsid w:val="0010281D"/>
    <w:rsid w:val="0010288A"/>
    <w:rsid w:val="00102B4F"/>
    <w:rsid w:val="00102ECB"/>
    <w:rsid w:val="0010309B"/>
    <w:rsid w:val="001032E7"/>
    <w:rsid w:val="0010362A"/>
    <w:rsid w:val="00103758"/>
    <w:rsid w:val="0010395E"/>
    <w:rsid w:val="00103B04"/>
    <w:rsid w:val="00103DC0"/>
    <w:rsid w:val="00103FA6"/>
    <w:rsid w:val="0010442E"/>
    <w:rsid w:val="00104666"/>
    <w:rsid w:val="001049D8"/>
    <w:rsid w:val="00104C02"/>
    <w:rsid w:val="00104F03"/>
    <w:rsid w:val="00104FD2"/>
    <w:rsid w:val="001050BF"/>
    <w:rsid w:val="001052BB"/>
    <w:rsid w:val="001053A1"/>
    <w:rsid w:val="00105495"/>
    <w:rsid w:val="001055F7"/>
    <w:rsid w:val="00105603"/>
    <w:rsid w:val="00105695"/>
    <w:rsid w:val="001057DD"/>
    <w:rsid w:val="00105C56"/>
    <w:rsid w:val="00105D83"/>
    <w:rsid w:val="00105EF7"/>
    <w:rsid w:val="0010601A"/>
    <w:rsid w:val="001064BE"/>
    <w:rsid w:val="001066FA"/>
    <w:rsid w:val="0010677C"/>
    <w:rsid w:val="0010677F"/>
    <w:rsid w:val="001067E4"/>
    <w:rsid w:val="001068AB"/>
    <w:rsid w:val="001068E6"/>
    <w:rsid w:val="00106B71"/>
    <w:rsid w:val="00106BE6"/>
    <w:rsid w:val="00106CFA"/>
    <w:rsid w:val="00106D18"/>
    <w:rsid w:val="0010708B"/>
    <w:rsid w:val="00107628"/>
    <w:rsid w:val="0010797D"/>
    <w:rsid w:val="00107D6E"/>
    <w:rsid w:val="00107F5A"/>
    <w:rsid w:val="00107F92"/>
    <w:rsid w:val="00107FA1"/>
    <w:rsid w:val="0011011F"/>
    <w:rsid w:val="0011012F"/>
    <w:rsid w:val="0011030F"/>
    <w:rsid w:val="001106FD"/>
    <w:rsid w:val="0011070A"/>
    <w:rsid w:val="00110F7C"/>
    <w:rsid w:val="00111342"/>
    <w:rsid w:val="001115DD"/>
    <w:rsid w:val="001116CB"/>
    <w:rsid w:val="00111B01"/>
    <w:rsid w:val="0011232F"/>
    <w:rsid w:val="0011246D"/>
    <w:rsid w:val="001125A3"/>
    <w:rsid w:val="001127CE"/>
    <w:rsid w:val="00112A0E"/>
    <w:rsid w:val="00112C3D"/>
    <w:rsid w:val="00112CC3"/>
    <w:rsid w:val="00112EA4"/>
    <w:rsid w:val="00112F6F"/>
    <w:rsid w:val="0011358C"/>
    <w:rsid w:val="00113722"/>
    <w:rsid w:val="00113904"/>
    <w:rsid w:val="00113906"/>
    <w:rsid w:val="00113BAB"/>
    <w:rsid w:val="00113C5E"/>
    <w:rsid w:val="001148ED"/>
    <w:rsid w:val="00114A2C"/>
    <w:rsid w:val="00114BEF"/>
    <w:rsid w:val="00114D2B"/>
    <w:rsid w:val="00114E5D"/>
    <w:rsid w:val="00114F1A"/>
    <w:rsid w:val="00114FD8"/>
    <w:rsid w:val="001150B9"/>
    <w:rsid w:val="00115171"/>
    <w:rsid w:val="0011558E"/>
    <w:rsid w:val="001157EC"/>
    <w:rsid w:val="0011594F"/>
    <w:rsid w:val="00115A19"/>
    <w:rsid w:val="00115E13"/>
    <w:rsid w:val="001160C1"/>
    <w:rsid w:val="0011630F"/>
    <w:rsid w:val="0011635B"/>
    <w:rsid w:val="0011638B"/>
    <w:rsid w:val="0011651E"/>
    <w:rsid w:val="00116836"/>
    <w:rsid w:val="00116F5A"/>
    <w:rsid w:val="00116F61"/>
    <w:rsid w:val="0011727B"/>
    <w:rsid w:val="0011738F"/>
    <w:rsid w:val="00117BF1"/>
    <w:rsid w:val="00117E8A"/>
    <w:rsid w:val="0012027D"/>
    <w:rsid w:val="00120A89"/>
    <w:rsid w:val="00120BAD"/>
    <w:rsid w:val="00120DDC"/>
    <w:rsid w:val="00120FF3"/>
    <w:rsid w:val="0012104A"/>
    <w:rsid w:val="001210DD"/>
    <w:rsid w:val="001212E5"/>
    <w:rsid w:val="001212E8"/>
    <w:rsid w:val="00121631"/>
    <w:rsid w:val="00121DCD"/>
    <w:rsid w:val="00121E3B"/>
    <w:rsid w:val="00121FDD"/>
    <w:rsid w:val="00121FF3"/>
    <w:rsid w:val="00122000"/>
    <w:rsid w:val="00122408"/>
    <w:rsid w:val="00122493"/>
    <w:rsid w:val="00122A12"/>
    <w:rsid w:val="00122C33"/>
    <w:rsid w:val="00122CB2"/>
    <w:rsid w:val="00122FA9"/>
    <w:rsid w:val="001230F5"/>
    <w:rsid w:val="001231D5"/>
    <w:rsid w:val="0012325F"/>
    <w:rsid w:val="0012338C"/>
    <w:rsid w:val="001235E4"/>
    <w:rsid w:val="00123CCB"/>
    <w:rsid w:val="00123CF3"/>
    <w:rsid w:val="00123FC4"/>
    <w:rsid w:val="001243A3"/>
    <w:rsid w:val="001244B0"/>
    <w:rsid w:val="001245AE"/>
    <w:rsid w:val="00124844"/>
    <w:rsid w:val="001249F5"/>
    <w:rsid w:val="00124FF6"/>
    <w:rsid w:val="00125177"/>
    <w:rsid w:val="0012534B"/>
    <w:rsid w:val="0012535B"/>
    <w:rsid w:val="00125464"/>
    <w:rsid w:val="00125699"/>
    <w:rsid w:val="00125822"/>
    <w:rsid w:val="00125B86"/>
    <w:rsid w:val="00125CA1"/>
    <w:rsid w:val="00125F0F"/>
    <w:rsid w:val="0012609D"/>
    <w:rsid w:val="0012633F"/>
    <w:rsid w:val="0012647F"/>
    <w:rsid w:val="00126500"/>
    <w:rsid w:val="001266A5"/>
    <w:rsid w:val="0012672A"/>
    <w:rsid w:val="001267F6"/>
    <w:rsid w:val="0012699D"/>
    <w:rsid w:val="00126BEB"/>
    <w:rsid w:val="00126DD0"/>
    <w:rsid w:val="001274B2"/>
    <w:rsid w:val="001276A8"/>
    <w:rsid w:val="001279FA"/>
    <w:rsid w:val="00127CE1"/>
    <w:rsid w:val="00127D2C"/>
    <w:rsid w:val="00127E6D"/>
    <w:rsid w:val="00127FFA"/>
    <w:rsid w:val="00130890"/>
    <w:rsid w:val="0013100F"/>
    <w:rsid w:val="00131193"/>
    <w:rsid w:val="001313D4"/>
    <w:rsid w:val="0013159C"/>
    <w:rsid w:val="001316FF"/>
    <w:rsid w:val="00131748"/>
    <w:rsid w:val="00131919"/>
    <w:rsid w:val="00131FF0"/>
    <w:rsid w:val="0013204D"/>
    <w:rsid w:val="00132602"/>
    <w:rsid w:val="0013274B"/>
    <w:rsid w:val="0013283A"/>
    <w:rsid w:val="00132871"/>
    <w:rsid w:val="00132BB3"/>
    <w:rsid w:val="00132D76"/>
    <w:rsid w:val="00132DB1"/>
    <w:rsid w:val="00132EC5"/>
    <w:rsid w:val="00132FD1"/>
    <w:rsid w:val="001330AE"/>
    <w:rsid w:val="00133647"/>
    <w:rsid w:val="00133932"/>
    <w:rsid w:val="00133C42"/>
    <w:rsid w:val="00134057"/>
    <w:rsid w:val="00134130"/>
    <w:rsid w:val="00134252"/>
    <w:rsid w:val="001348E7"/>
    <w:rsid w:val="00134B0E"/>
    <w:rsid w:val="00134E17"/>
    <w:rsid w:val="001350BA"/>
    <w:rsid w:val="001358F6"/>
    <w:rsid w:val="00135A20"/>
    <w:rsid w:val="00135CCC"/>
    <w:rsid w:val="00135DA1"/>
    <w:rsid w:val="00136481"/>
    <w:rsid w:val="00136610"/>
    <w:rsid w:val="001366CD"/>
    <w:rsid w:val="001368D4"/>
    <w:rsid w:val="00136A47"/>
    <w:rsid w:val="00136A9A"/>
    <w:rsid w:val="00136B4E"/>
    <w:rsid w:val="001374EB"/>
    <w:rsid w:val="00137649"/>
    <w:rsid w:val="001376F4"/>
    <w:rsid w:val="00137BBE"/>
    <w:rsid w:val="00137FF3"/>
    <w:rsid w:val="0014004D"/>
    <w:rsid w:val="001403FE"/>
    <w:rsid w:val="0014048D"/>
    <w:rsid w:val="001407A2"/>
    <w:rsid w:val="00140DE7"/>
    <w:rsid w:val="00141041"/>
    <w:rsid w:val="001411BB"/>
    <w:rsid w:val="001412A1"/>
    <w:rsid w:val="001413DC"/>
    <w:rsid w:val="0014140A"/>
    <w:rsid w:val="001415DB"/>
    <w:rsid w:val="001417C5"/>
    <w:rsid w:val="00141839"/>
    <w:rsid w:val="0014184C"/>
    <w:rsid w:val="00141922"/>
    <w:rsid w:val="001419FC"/>
    <w:rsid w:val="00141CFB"/>
    <w:rsid w:val="00142114"/>
    <w:rsid w:val="0014237B"/>
    <w:rsid w:val="001428D6"/>
    <w:rsid w:val="00142E02"/>
    <w:rsid w:val="00142E21"/>
    <w:rsid w:val="00142E60"/>
    <w:rsid w:val="00142F7C"/>
    <w:rsid w:val="0014367F"/>
    <w:rsid w:val="00143942"/>
    <w:rsid w:val="00143DE6"/>
    <w:rsid w:val="00143E37"/>
    <w:rsid w:val="00143E72"/>
    <w:rsid w:val="0014401E"/>
    <w:rsid w:val="0014480D"/>
    <w:rsid w:val="00144C4F"/>
    <w:rsid w:val="00144CD8"/>
    <w:rsid w:val="00144D0D"/>
    <w:rsid w:val="00144FC0"/>
    <w:rsid w:val="00145098"/>
    <w:rsid w:val="001451A1"/>
    <w:rsid w:val="00145DE7"/>
    <w:rsid w:val="001463DB"/>
    <w:rsid w:val="00146D60"/>
    <w:rsid w:val="00146E4B"/>
    <w:rsid w:val="00146EED"/>
    <w:rsid w:val="00147109"/>
    <w:rsid w:val="00147409"/>
    <w:rsid w:val="00147500"/>
    <w:rsid w:val="001476C8"/>
    <w:rsid w:val="001477CC"/>
    <w:rsid w:val="0015010F"/>
    <w:rsid w:val="00150540"/>
    <w:rsid w:val="001506DB"/>
    <w:rsid w:val="00150864"/>
    <w:rsid w:val="0015097E"/>
    <w:rsid w:val="001509BF"/>
    <w:rsid w:val="00150CF5"/>
    <w:rsid w:val="00150D09"/>
    <w:rsid w:val="00151166"/>
    <w:rsid w:val="001511B0"/>
    <w:rsid w:val="0015153C"/>
    <w:rsid w:val="001515BA"/>
    <w:rsid w:val="0015182C"/>
    <w:rsid w:val="00151A1F"/>
    <w:rsid w:val="001528A6"/>
    <w:rsid w:val="00152A44"/>
    <w:rsid w:val="00152AC4"/>
    <w:rsid w:val="00152AD0"/>
    <w:rsid w:val="00152D4C"/>
    <w:rsid w:val="00153269"/>
    <w:rsid w:val="0015361B"/>
    <w:rsid w:val="00153B88"/>
    <w:rsid w:val="00153C15"/>
    <w:rsid w:val="00153C81"/>
    <w:rsid w:val="00153D84"/>
    <w:rsid w:val="00154078"/>
    <w:rsid w:val="001540A4"/>
    <w:rsid w:val="001544D5"/>
    <w:rsid w:val="00154681"/>
    <w:rsid w:val="00154701"/>
    <w:rsid w:val="001549FD"/>
    <w:rsid w:val="00154A04"/>
    <w:rsid w:val="00154A24"/>
    <w:rsid w:val="00154B26"/>
    <w:rsid w:val="00154E19"/>
    <w:rsid w:val="0015527B"/>
    <w:rsid w:val="00155338"/>
    <w:rsid w:val="001553AA"/>
    <w:rsid w:val="00155405"/>
    <w:rsid w:val="0015558C"/>
    <w:rsid w:val="00155A4C"/>
    <w:rsid w:val="00155C31"/>
    <w:rsid w:val="00155DF3"/>
    <w:rsid w:val="0015607B"/>
    <w:rsid w:val="001566F3"/>
    <w:rsid w:val="00156EFA"/>
    <w:rsid w:val="00157101"/>
    <w:rsid w:val="001572C9"/>
    <w:rsid w:val="0015737E"/>
    <w:rsid w:val="0015739D"/>
    <w:rsid w:val="00157459"/>
    <w:rsid w:val="001575CD"/>
    <w:rsid w:val="00157709"/>
    <w:rsid w:val="001579F8"/>
    <w:rsid w:val="00157AFE"/>
    <w:rsid w:val="00157C6B"/>
    <w:rsid w:val="00157F45"/>
    <w:rsid w:val="001601B3"/>
    <w:rsid w:val="00160298"/>
    <w:rsid w:val="001609FE"/>
    <w:rsid w:val="00160BAE"/>
    <w:rsid w:val="00160C37"/>
    <w:rsid w:val="00160CE0"/>
    <w:rsid w:val="00160FBE"/>
    <w:rsid w:val="00161528"/>
    <w:rsid w:val="0016164B"/>
    <w:rsid w:val="001616BD"/>
    <w:rsid w:val="00161855"/>
    <w:rsid w:val="00161866"/>
    <w:rsid w:val="00161BD1"/>
    <w:rsid w:val="001621D8"/>
    <w:rsid w:val="0016241B"/>
    <w:rsid w:val="00162553"/>
    <w:rsid w:val="0016261A"/>
    <w:rsid w:val="001629BF"/>
    <w:rsid w:val="00162B2A"/>
    <w:rsid w:val="00162CB6"/>
    <w:rsid w:val="001630C5"/>
    <w:rsid w:val="001630E1"/>
    <w:rsid w:val="00163174"/>
    <w:rsid w:val="00163242"/>
    <w:rsid w:val="00163432"/>
    <w:rsid w:val="00163551"/>
    <w:rsid w:val="0016398A"/>
    <w:rsid w:val="00163E62"/>
    <w:rsid w:val="001642A0"/>
    <w:rsid w:val="001643F3"/>
    <w:rsid w:val="00164507"/>
    <w:rsid w:val="00164621"/>
    <w:rsid w:val="001649A4"/>
    <w:rsid w:val="00164BAC"/>
    <w:rsid w:val="00164C14"/>
    <w:rsid w:val="00164EEB"/>
    <w:rsid w:val="00165183"/>
    <w:rsid w:val="001653D2"/>
    <w:rsid w:val="001655D2"/>
    <w:rsid w:val="0016560C"/>
    <w:rsid w:val="00165929"/>
    <w:rsid w:val="00165B1C"/>
    <w:rsid w:val="00165E29"/>
    <w:rsid w:val="00166104"/>
    <w:rsid w:val="00166219"/>
    <w:rsid w:val="001662DE"/>
    <w:rsid w:val="001669A5"/>
    <w:rsid w:val="00166A15"/>
    <w:rsid w:val="00166CC8"/>
    <w:rsid w:val="00166F2D"/>
    <w:rsid w:val="001671E7"/>
    <w:rsid w:val="001672CA"/>
    <w:rsid w:val="001674D4"/>
    <w:rsid w:val="0016756A"/>
    <w:rsid w:val="00167898"/>
    <w:rsid w:val="00167CA2"/>
    <w:rsid w:val="00167F5E"/>
    <w:rsid w:val="00170043"/>
    <w:rsid w:val="001700C5"/>
    <w:rsid w:val="001701F6"/>
    <w:rsid w:val="00170787"/>
    <w:rsid w:val="0017091A"/>
    <w:rsid w:val="00170D81"/>
    <w:rsid w:val="00171084"/>
    <w:rsid w:val="00171610"/>
    <w:rsid w:val="00171687"/>
    <w:rsid w:val="0017173B"/>
    <w:rsid w:val="001718D3"/>
    <w:rsid w:val="00171A3E"/>
    <w:rsid w:val="00171DF1"/>
    <w:rsid w:val="00171E82"/>
    <w:rsid w:val="00172071"/>
    <w:rsid w:val="001727AE"/>
    <w:rsid w:val="00172896"/>
    <w:rsid w:val="00172C6A"/>
    <w:rsid w:val="0017339F"/>
    <w:rsid w:val="0017369E"/>
    <w:rsid w:val="0017393B"/>
    <w:rsid w:val="00173AEA"/>
    <w:rsid w:val="00173CA4"/>
    <w:rsid w:val="00173D96"/>
    <w:rsid w:val="00173FC0"/>
    <w:rsid w:val="00174209"/>
    <w:rsid w:val="0017424D"/>
    <w:rsid w:val="00174304"/>
    <w:rsid w:val="00174366"/>
    <w:rsid w:val="0017440E"/>
    <w:rsid w:val="00174672"/>
    <w:rsid w:val="00174B20"/>
    <w:rsid w:val="00174B7F"/>
    <w:rsid w:val="00174E57"/>
    <w:rsid w:val="001751BA"/>
    <w:rsid w:val="001751C5"/>
    <w:rsid w:val="0017561C"/>
    <w:rsid w:val="001756C8"/>
    <w:rsid w:val="001756ED"/>
    <w:rsid w:val="00175751"/>
    <w:rsid w:val="00175C06"/>
    <w:rsid w:val="00175D3E"/>
    <w:rsid w:val="00175F23"/>
    <w:rsid w:val="00176127"/>
    <w:rsid w:val="00176217"/>
    <w:rsid w:val="00176332"/>
    <w:rsid w:val="001764B2"/>
    <w:rsid w:val="001764DF"/>
    <w:rsid w:val="0017655C"/>
    <w:rsid w:val="001766FA"/>
    <w:rsid w:val="00176A89"/>
    <w:rsid w:val="00176BEF"/>
    <w:rsid w:val="00176C98"/>
    <w:rsid w:val="00176D7C"/>
    <w:rsid w:val="00176E88"/>
    <w:rsid w:val="00176E9E"/>
    <w:rsid w:val="00176F9F"/>
    <w:rsid w:val="001770D8"/>
    <w:rsid w:val="0017727C"/>
    <w:rsid w:val="001773E0"/>
    <w:rsid w:val="0017768A"/>
    <w:rsid w:val="00177CB0"/>
    <w:rsid w:val="00177E6B"/>
    <w:rsid w:val="00180032"/>
    <w:rsid w:val="00180141"/>
    <w:rsid w:val="00180238"/>
    <w:rsid w:val="0018042F"/>
    <w:rsid w:val="001808D9"/>
    <w:rsid w:val="00180A32"/>
    <w:rsid w:val="00180B6C"/>
    <w:rsid w:val="0018118B"/>
    <w:rsid w:val="001812A8"/>
    <w:rsid w:val="0018143A"/>
    <w:rsid w:val="00181A3E"/>
    <w:rsid w:val="00182045"/>
    <w:rsid w:val="0018223F"/>
    <w:rsid w:val="0018248A"/>
    <w:rsid w:val="001829D8"/>
    <w:rsid w:val="00182F60"/>
    <w:rsid w:val="00183799"/>
    <w:rsid w:val="001838AC"/>
    <w:rsid w:val="001838C0"/>
    <w:rsid w:val="00183A87"/>
    <w:rsid w:val="00183DE9"/>
    <w:rsid w:val="00183EA1"/>
    <w:rsid w:val="00184131"/>
    <w:rsid w:val="0018418B"/>
    <w:rsid w:val="001841F3"/>
    <w:rsid w:val="00184AB2"/>
    <w:rsid w:val="00184AC2"/>
    <w:rsid w:val="00184E0C"/>
    <w:rsid w:val="001850CA"/>
    <w:rsid w:val="001850EF"/>
    <w:rsid w:val="00185217"/>
    <w:rsid w:val="00185233"/>
    <w:rsid w:val="0018531F"/>
    <w:rsid w:val="00185A91"/>
    <w:rsid w:val="00185EFC"/>
    <w:rsid w:val="00185F20"/>
    <w:rsid w:val="00185FC7"/>
    <w:rsid w:val="00186390"/>
    <w:rsid w:val="0018669B"/>
    <w:rsid w:val="00186A53"/>
    <w:rsid w:val="00186DF8"/>
    <w:rsid w:val="001870DD"/>
    <w:rsid w:val="001873BC"/>
    <w:rsid w:val="00187738"/>
    <w:rsid w:val="00187E0E"/>
    <w:rsid w:val="00187F4D"/>
    <w:rsid w:val="0019050C"/>
    <w:rsid w:val="00190685"/>
    <w:rsid w:val="0019080F"/>
    <w:rsid w:val="00190A59"/>
    <w:rsid w:val="00190B9D"/>
    <w:rsid w:val="00190D9F"/>
    <w:rsid w:val="00190F19"/>
    <w:rsid w:val="00191156"/>
    <w:rsid w:val="00191909"/>
    <w:rsid w:val="00191BB9"/>
    <w:rsid w:val="00191BFE"/>
    <w:rsid w:val="00191DB8"/>
    <w:rsid w:val="00191DBB"/>
    <w:rsid w:val="001920FA"/>
    <w:rsid w:val="0019235D"/>
    <w:rsid w:val="00192392"/>
    <w:rsid w:val="001924D3"/>
    <w:rsid w:val="00192546"/>
    <w:rsid w:val="001925E2"/>
    <w:rsid w:val="0019273F"/>
    <w:rsid w:val="00192AF5"/>
    <w:rsid w:val="00192D89"/>
    <w:rsid w:val="00192DA0"/>
    <w:rsid w:val="0019346E"/>
    <w:rsid w:val="00193C2E"/>
    <w:rsid w:val="00193FFB"/>
    <w:rsid w:val="001941DC"/>
    <w:rsid w:val="001944AB"/>
    <w:rsid w:val="001944C9"/>
    <w:rsid w:val="00194673"/>
    <w:rsid w:val="00194BE1"/>
    <w:rsid w:val="00194D42"/>
    <w:rsid w:val="00194E71"/>
    <w:rsid w:val="00194E76"/>
    <w:rsid w:val="001950A3"/>
    <w:rsid w:val="001950A9"/>
    <w:rsid w:val="001951BF"/>
    <w:rsid w:val="001951DB"/>
    <w:rsid w:val="001953C0"/>
    <w:rsid w:val="00195488"/>
    <w:rsid w:val="001954CE"/>
    <w:rsid w:val="0019554F"/>
    <w:rsid w:val="00195569"/>
    <w:rsid w:val="0019594A"/>
    <w:rsid w:val="00195A5E"/>
    <w:rsid w:val="00195A7E"/>
    <w:rsid w:val="00195C6E"/>
    <w:rsid w:val="00195FC3"/>
    <w:rsid w:val="0019601F"/>
    <w:rsid w:val="001962A6"/>
    <w:rsid w:val="0019653D"/>
    <w:rsid w:val="001967D9"/>
    <w:rsid w:val="0019687A"/>
    <w:rsid w:val="00196D3C"/>
    <w:rsid w:val="0019707A"/>
    <w:rsid w:val="001970E5"/>
    <w:rsid w:val="001970F3"/>
    <w:rsid w:val="0019717E"/>
    <w:rsid w:val="00197256"/>
    <w:rsid w:val="00197882"/>
    <w:rsid w:val="00197DCC"/>
    <w:rsid w:val="001A0070"/>
    <w:rsid w:val="001A0119"/>
    <w:rsid w:val="001A01A7"/>
    <w:rsid w:val="001A03D5"/>
    <w:rsid w:val="001A045A"/>
    <w:rsid w:val="001A04BB"/>
    <w:rsid w:val="001A0773"/>
    <w:rsid w:val="001A0A6F"/>
    <w:rsid w:val="001A0D07"/>
    <w:rsid w:val="001A0D24"/>
    <w:rsid w:val="001A0E02"/>
    <w:rsid w:val="001A0EDB"/>
    <w:rsid w:val="001A10C5"/>
    <w:rsid w:val="001A1336"/>
    <w:rsid w:val="001A137C"/>
    <w:rsid w:val="001A15D7"/>
    <w:rsid w:val="001A16D0"/>
    <w:rsid w:val="001A178F"/>
    <w:rsid w:val="001A19EC"/>
    <w:rsid w:val="001A1A45"/>
    <w:rsid w:val="001A1D66"/>
    <w:rsid w:val="001A1DE9"/>
    <w:rsid w:val="001A1E46"/>
    <w:rsid w:val="001A1F13"/>
    <w:rsid w:val="001A249E"/>
    <w:rsid w:val="001A2520"/>
    <w:rsid w:val="001A28AE"/>
    <w:rsid w:val="001A2993"/>
    <w:rsid w:val="001A34E5"/>
    <w:rsid w:val="001A37EC"/>
    <w:rsid w:val="001A3F11"/>
    <w:rsid w:val="001A3F27"/>
    <w:rsid w:val="001A4295"/>
    <w:rsid w:val="001A44A2"/>
    <w:rsid w:val="001A45C3"/>
    <w:rsid w:val="001A46B7"/>
    <w:rsid w:val="001A4BB2"/>
    <w:rsid w:val="001A4DA0"/>
    <w:rsid w:val="001A4F7E"/>
    <w:rsid w:val="001A5185"/>
    <w:rsid w:val="001A54D1"/>
    <w:rsid w:val="001A5834"/>
    <w:rsid w:val="001A5C5B"/>
    <w:rsid w:val="001A6157"/>
    <w:rsid w:val="001A6432"/>
    <w:rsid w:val="001A695B"/>
    <w:rsid w:val="001A6F9B"/>
    <w:rsid w:val="001A71F8"/>
    <w:rsid w:val="001A7225"/>
    <w:rsid w:val="001A78F2"/>
    <w:rsid w:val="001A791E"/>
    <w:rsid w:val="001A7A7E"/>
    <w:rsid w:val="001A7A82"/>
    <w:rsid w:val="001A7ADD"/>
    <w:rsid w:val="001A7CC1"/>
    <w:rsid w:val="001B00D8"/>
    <w:rsid w:val="001B0296"/>
    <w:rsid w:val="001B029C"/>
    <w:rsid w:val="001B0F61"/>
    <w:rsid w:val="001B107B"/>
    <w:rsid w:val="001B133C"/>
    <w:rsid w:val="001B16B3"/>
    <w:rsid w:val="001B16C9"/>
    <w:rsid w:val="001B18FF"/>
    <w:rsid w:val="001B1D4B"/>
    <w:rsid w:val="001B1FA2"/>
    <w:rsid w:val="001B223F"/>
    <w:rsid w:val="001B2283"/>
    <w:rsid w:val="001B22A7"/>
    <w:rsid w:val="001B22F8"/>
    <w:rsid w:val="001B2EFF"/>
    <w:rsid w:val="001B33AB"/>
    <w:rsid w:val="001B3469"/>
    <w:rsid w:val="001B34CE"/>
    <w:rsid w:val="001B34D6"/>
    <w:rsid w:val="001B379B"/>
    <w:rsid w:val="001B3AB0"/>
    <w:rsid w:val="001B3BCC"/>
    <w:rsid w:val="001B3C54"/>
    <w:rsid w:val="001B3DAA"/>
    <w:rsid w:val="001B4790"/>
    <w:rsid w:val="001B4A15"/>
    <w:rsid w:val="001B4F5D"/>
    <w:rsid w:val="001B50AE"/>
    <w:rsid w:val="001B51B6"/>
    <w:rsid w:val="001B5703"/>
    <w:rsid w:val="001B588A"/>
    <w:rsid w:val="001B591A"/>
    <w:rsid w:val="001B5CED"/>
    <w:rsid w:val="001B5DE3"/>
    <w:rsid w:val="001B5F20"/>
    <w:rsid w:val="001B5F45"/>
    <w:rsid w:val="001B6446"/>
    <w:rsid w:val="001B6C28"/>
    <w:rsid w:val="001B6EB2"/>
    <w:rsid w:val="001B7AB6"/>
    <w:rsid w:val="001B7BE5"/>
    <w:rsid w:val="001B7CF8"/>
    <w:rsid w:val="001B7F5C"/>
    <w:rsid w:val="001C0178"/>
    <w:rsid w:val="001C0C1E"/>
    <w:rsid w:val="001C0E99"/>
    <w:rsid w:val="001C0F07"/>
    <w:rsid w:val="001C0FBA"/>
    <w:rsid w:val="001C1000"/>
    <w:rsid w:val="001C113F"/>
    <w:rsid w:val="001C141B"/>
    <w:rsid w:val="001C1482"/>
    <w:rsid w:val="001C1493"/>
    <w:rsid w:val="001C161C"/>
    <w:rsid w:val="001C1792"/>
    <w:rsid w:val="001C1AE3"/>
    <w:rsid w:val="001C1CAC"/>
    <w:rsid w:val="001C1D91"/>
    <w:rsid w:val="001C21E0"/>
    <w:rsid w:val="001C24DF"/>
    <w:rsid w:val="001C272D"/>
    <w:rsid w:val="001C2908"/>
    <w:rsid w:val="001C2ACE"/>
    <w:rsid w:val="001C305D"/>
    <w:rsid w:val="001C3101"/>
    <w:rsid w:val="001C32FA"/>
    <w:rsid w:val="001C34AB"/>
    <w:rsid w:val="001C36C4"/>
    <w:rsid w:val="001C3AF3"/>
    <w:rsid w:val="001C3DB6"/>
    <w:rsid w:val="001C3EB9"/>
    <w:rsid w:val="001C40D4"/>
    <w:rsid w:val="001C4276"/>
    <w:rsid w:val="001C42C7"/>
    <w:rsid w:val="001C42E9"/>
    <w:rsid w:val="001C4471"/>
    <w:rsid w:val="001C459E"/>
    <w:rsid w:val="001C4607"/>
    <w:rsid w:val="001C4842"/>
    <w:rsid w:val="001C4CEA"/>
    <w:rsid w:val="001C4DD1"/>
    <w:rsid w:val="001C4E36"/>
    <w:rsid w:val="001C514D"/>
    <w:rsid w:val="001C5463"/>
    <w:rsid w:val="001C5632"/>
    <w:rsid w:val="001C5B03"/>
    <w:rsid w:val="001C5B1B"/>
    <w:rsid w:val="001C5BF0"/>
    <w:rsid w:val="001C5DE5"/>
    <w:rsid w:val="001C5EF4"/>
    <w:rsid w:val="001C5F9D"/>
    <w:rsid w:val="001C6392"/>
    <w:rsid w:val="001C6447"/>
    <w:rsid w:val="001C66A0"/>
    <w:rsid w:val="001C66A3"/>
    <w:rsid w:val="001C6B94"/>
    <w:rsid w:val="001C6D11"/>
    <w:rsid w:val="001C6DB5"/>
    <w:rsid w:val="001C6E6E"/>
    <w:rsid w:val="001C73F2"/>
    <w:rsid w:val="001C7795"/>
    <w:rsid w:val="001C7914"/>
    <w:rsid w:val="001C7A0C"/>
    <w:rsid w:val="001C7BDA"/>
    <w:rsid w:val="001C7CC1"/>
    <w:rsid w:val="001D0283"/>
    <w:rsid w:val="001D02BD"/>
    <w:rsid w:val="001D02DA"/>
    <w:rsid w:val="001D0483"/>
    <w:rsid w:val="001D0918"/>
    <w:rsid w:val="001D095F"/>
    <w:rsid w:val="001D0DB1"/>
    <w:rsid w:val="001D0E92"/>
    <w:rsid w:val="001D1094"/>
    <w:rsid w:val="001D1303"/>
    <w:rsid w:val="001D13CA"/>
    <w:rsid w:val="001D1665"/>
    <w:rsid w:val="001D17F8"/>
    <w:rsid w:val="001D1893"/>
    <w:rsid w:val="001D194E"/>
    <w:rsid w:val="001D1E8F"/>
    <w:rsid w:val="001D2189"/>
    <w:rsid w:val="001D27C1"/>
    <w:rsid w:val="001D2DE4"/>
    <w:rsid w:val="001D34E9"/>
    <w:rsid w:val="001D34F3"/>
    <w:rsid w:val="001D3614"/>
    <w:rsid w:val="001D395D"/>
    <w:rsid w:val="001D3985"/>
    <w:rsid w:val="001D3C60"/>
    <w:rsid w:val="001D3E0C"/>
    <w:rsid w:val="001D3F20"/>
    <w:rsid w:val="001D40B9"/>
    <w:rsid w:val="001D4509"/>
    <w:rsid w:val="001D495A"/>
    <w:rsid w:val="001D4A19"/>
    <w:rsid w:val="001D4F95"/>
    <w:rsid w:val="001D4F9B"/>
    <w:rsid w:val="001D51D9"/>
    <w:rsid w:val="001D535F"/>
    <w:rsid w:val="001D5371"/>
    <w:rsid w:val="001D546C"/>
    <w:rsid w:val="001D55BC"/>
    <w:rsid w:val="001D56C0"/>
    <w:rsid w:val="001D5706"/>
    <w:rsid w:val="001D5B3C"/>
    <w:rsid w:val="001D5B48"/>
    <w:rsid w:val="001D5D9A"/>
    <w:rsid w:val="001D5EFF"/>
    <w:rsid w:val="001D60E2"/>
    <w:rsid w:val="001D619F"/>
    <w:rsid w:val="001D62DB"/>
    <w:rsid w:val="001D6402"/>
    <w:rsid w:val="001D6575"/>
    <w:rsid w:val="001D657E"/>
    <w:rsid w:val="001D6627"/>
    <w:rsid w:val="001D6655"/>
    <w:rsid w:val="001D67E8"/>
    <w:rsid w:val="001D701C"/>
    <w:rsid w:val="001D71BF"/>
    <w:rsid w:val="001D720E"/>
    <w:rsid w:val="001D7547"/>
    <w:rsid w:val="001D76CA"/>
    <w:rsid w:val="001D7746"/>
    <w:rsid w:val="001D78ED"/>
    <w:rsid w:val="001D7936"/>
    <w:rsid w:val="001D796C"/>
    <w:rsid w:val="001D7AB3"/>
    <w:rsid w:val="001D7F4C"/>
    <w:rsid w:val="001E045C"/>
    <w:rsid w:val="001E0546"/>
    <w:rsid w:val="001E073C"/>
    <w:rsid w:val="001E07C9"/>
    <w:rsid w:val="001E08FB"/>
    <w:rsid w:val="001E0A45"/>
    <w:rsid w:val="001E0C94"/>
    <w:rsid w:val="001E0C9C"/>
    <w:rsid w:val="001E10A3"/>
    <w:rsid w:val="001E15AC"/>
    <w:rsid w:val="001E15B9"/>
    <w:rsid w:val="001E1BB8"/>
    <w:rsid w:val="001E1EB4"/>
    <w:rsid w:val="001E20B2"/>
    <w:rsid w:val="001E21D2"/>
    <w:rsid w:val="001E2345"/>
    <w:rsid w:val="001E2465"/>
    <w:rsid w:val="001E25E6"/>
    <w:rsid w:val="001E2786"/>
    <w:rsid w:val="001E27C0"/>
    <w:rsid w:val="001E2DDD"/>
    <w:rsid w:val="001E2EED"/>
    <w:rsid w:val="001E3048"/>
    <w:rsid w:val="001E306F"/>
    <w:rsid w:val="001E3366"/>
    <w:rsid w:val="001E33EB"/>
    <w:rsid w:val="001E341C"/>
    <w:rsid w:val="001E34D1"/>
    <w:rsid w:val="001E3A1C"/>
    <w:rsid w:val="001E3BA2"/>
    <w:rsid w:val="001E3E2D"/>
    <w:rsid w:val="001E3FFE"/>
    <w:rsid w:val="001E416B"/>
    <w:rsid w:val="001E4175"/>
    <w:rsid w:val="001E4269"/>
    <w:rsid w:val="001E46BB"/>
    <w:rsid w:val="001E47B9"/>
    <w:rsid w:val="001E4A47"/>
    <w:rsid w:val="001E4B1E"/>
    <w:rsid w:val="001E4B4A"/>
    <w:rsid w:val="001E4D25"/>
    <w:rsid w:val="001E4D85"/>
    <w:rsid w:val="001E4FDE"/>
    <w:rsid w:val="001E5032"/>
    <w:rsid w:val="001E5188"/>
    <w:rsid w:val="001E53D7"/>
    <w:rsid w:val="001E578D"/>
    <w:rsid w:val="001E584C"/>
    <w:rsid w:val="001E5AD5"/>
    <w:rsid w:val="001E5F90"/>
    <w:rsid w:val="001E6144"/>
    <w:rsid w:val="001E63A2"/>
    <w:rsid w:val="001E63EA"/>
    <w:rsid w:val="001E647E"/>
    <w:rsid w:val="001E685E"/>
    <w:rsid w:val="001E6F0D"/>
    <w:rsid w:val="001E73CF"/>
    <w:rsid w:val="001E762F"/>
    <w:rsid w:val="001E7BE8"/>
    <w:rsid w:val="001E7EF6"/>
    <w:rsid w:val="001F0F7B"/>
    <w:rsid w:val="001F13B3"/>
    <w:rsid w:val="001F140E"/>
    <w:rsid w:val="001F1555"/>
    <w:rsid w:val="001F1693"/>
    <w:rsid w:val="001F180F"/>
    <w:rsid w:val="001F18F7"/>
    <w:rsid w:val="001F1B54"/>
    <w:rsid w:val="001F1C4F"/>
    <w:rsid w:val="001F1E79"/>
    <w:rsid w:val="001F2069"/>
    <w:rsid w:val="001F235D"/>
    <w:rsid w:val="001F25F4"/>
    <w:rsid w:val="001F2651"/>
    <w:rsid w:val="001F2706"/>
    <w:rsid w:val="001F27C9"/>
    <w:rsid w:val="001F28D5"/>
    <w:rsid w:val="001F2923"/>
    <w:rsid w:val="001F2A01"/>
    <w:rsid w:val="001F3075"/>
    <w:rsid w:val="001F345B"/>
    <w:rsid w:val="001F3478"/>
    <w:rsid w:val="001F357C"/>
    <w:rsid w:val="001F35F0"/>
    <w:rsid w:val="001F379D"/>
    <w:rsid w:val="001F4530"/>
    <w:rsid w:val="001F4D90"/>
    <w:rsid w:val="001F4E8E"/>
    <w:rsid w:val="001F4FC8"/>
    <w:rsid w:val="001F50DE"/>
    <w:rsid w:val="001F524F"/>
    <w:rsid w:val="001F530C"/>
    <w:rsid w:val="001F534F"/>
    <w:rsid w:val="001F536D"/>
    <w:rsid w:val="001F5546"/>
    <w:rsid w:val="001F577C"/>
    <w:rsid w:val="001F5B37"/>
    <w:rsid w:val="001F5CAF"/>
    <w:rsid w:val="001F6143"/>
    <w:rsid w:val="001F64B5"/>
    <w:rsid w:val="001F6793"/>
    <w:rsid w:val="001F6945"/>
    <w:rsid w:val="001F7084"/>
    <w:rsid w:val="001F7190"/>
    <w:rsid w:val="001F75EA"/>
    <w:rsid w:val="001F76A7"/>
    <w:rsid w:val="001F76D8"/>
    <w:rsid w:val="001F7738"/>
    <w:rsid w:val="001F7863"/>
    <w:rsid w:val="001F7DD1"/>
    <w:rsid w:val="001F7F29"/>
    <w:rsid w:val="0020040A"/>
    <w:rsid w:val="0020061B"/>
    <w:rsid w:val="00200AD1"/>
    <w:rsid w:val="00200CB3"/>
    <w:rsid w:val="00200DA0"/>
    <w:rsid w:val="00201A13"/>
    <w:rsid w:val="00201CA4"/>
    <w:rsid w:val="00201EEA"/>
    <w:rsid w:val="00202188"/>
    <w:rsid w:val="002025DA"/>
    <w:rsid w:val="00202765"/>
    <w:rsid w:val="0020277B"/>
    <w:rsid w:val="002029CE"/>
    <w:rsid w:val="00202C6D"/>
    <w:rsid w:val="00202DF5"/>
    <w:rsid w:val="0020321F"/>
    <w:rsid w:val="00203FD4"/>
    <w:rsid w:val="002043EA"/>
    <w:rsid w:val="002044DD"/>
    <w:rsid w:val="00204F75"/>
    <w:rsid w:val="00205325"/>
    <w:rsid w:val="002053B8"/>
    <w:rsid w:val="002056BF"/>
    <w:rsid w:val="0020589A"/>
    <w:rsid w:val="00205B78"/>
    <w:rsid w:val="00205F19"/>
    <w:rsid w:val="00206059"/>
    <w:rsid w:val="00206157"/>
    <w:rsid w:val="0020640D"/>
    <w:rsid w:val="00206655"/>
    <w:rsid w:val="00206750"/>
    <w:rsid w:val="00206A96"/>
    <w:rsid w:val="0020728B"/>
    <w:rsid w:val="0020758D"/>
    <w:rsid w:val="00207691"/>
    <w:rsid w:val="00207820"/>
    <w:rsid w:val="00207AEE"/>
    <w:rsid w:val="00207CEF"/>
    <w:rsid w:val="00207D7A"/>
    <w:rsid w:val="00207E33"/>
    <w:rsid w:val="00207E7B"/>
    <w:rsid w:val="00207E96"/>
    <w:rsid w:val="00207F27"/>
    <w:rsid w:val="00210182"/>
    <w:rsid w:val="0021020C"/>
    <w:rsid w:val="002104FF"/>
    <w:rsid w:val="002109E8"/>
    <w:rsid w:val="00210A91"/>
    <w:rsid w:val="00210F35"/>
    <w:rsid w:val="002111C7"/>
    <w:rsid w:val="002112FE"/>
    <w:rsid w:val="002115B1"/>
    <w:rsid w:val="00211786"/>
    <w:rsid w:val="0021179A"/>
    <w:rsid w:val="002117FF"/>
    <w:rsid w:val="00211807"/>
    <w:rsid w:val="00211CAC"/>
    <w:rsid w:val="00211DE5"/>
    <w:rsid w:val="00211FA0"/>
    <w:rsid w:val="00212384"/>
    <w:rsid w:val="0021242D"/>
    <w:rsid w:val="002126D1"/>
    <w:rsid w:val="002129E1"/>
    <w:rsid w:val="00212CA6"/>
    <w:rsid w:val="00212ED2"/>
    <w:rsid w:val="00213285"/>
    <w:rsid w:val="00213292"/>
    <w:rsid w:val="002134DA"/>
    <w:rsid w:val="00213C15"/>
    <w:rsid w:val="00213EBD"/>
    <w:rsid w:val="00214573"/>
    <w:rsid w:val="002145F0"/>
    <w:rsid w:val="00214ABB"/>
    <w:rsid w:val="00215316"/>
    <w:rsid w:val="00215830"/>
    <w:rsid w:val="00215AEC"/>
    <w:rsid w:val="00215B5C"/>
    <w:rsid w:val="00215D80"/>
    <w:rsid w:val="00215DAA"/>
    <w:rsid w:val="00215DB0"/>
    <w:rsid w:val="00215F99"/>
    <w:rsid w:val="002160F8"/>
    <w:rsid w:val="00216188"/>
    <w:rsid w:val="00216191"/>
    <w:rsid w:val="002161C7"/>
    <w:rsid w:val="00216384"/>
    <w:rsid w:val="0021660B"/>
    <w:rsid w:val="00216909"/>
    <w:rsid w:val="00216CE3"/>
    <w:rsid w:val="00217075"/>
    <w:rsid w:val="00217451"/>
    <w:rsid w:val="002175B3"/>
    <w:rsid w:val="002177BE"/>
    <w:rsid w:val="00217922"/>
    <w:rsid w:val="00217E1D"/>
    <w:rsid w:val="0022029C"/>
    <w:rsid w:val="00220384"/>
    <w:rsid w:val="002203CC"/>
    <w:rsid w:val="00220E2C"/>
    <w:rsid w:val="00220E9A"/>
    <w:rsid w:val="00220F50"/>
    <w:rsid w:val="00220F9A"/>
    <w:rsid w:val="0022105B"/>
    <w:rsid w:val="0022106E"/>
    <w:rsid w:val="00221075"/>
    <w:rsid w:val="0022114F"/>
    <w:rsid w:val="0022117E"/>
    <w:rsid w:val="002213A0"/>
    <w:rsid w:val="00221656"/>
    <w:rsid w:val="00221765"/>
    <w:rsid w:val="002217DC"/>
    <w:rsid w:val="00221A26"/>
    <w:rsid w:val="00221C62"/>
    <w:rsid w:val="00221F31"/>
    <w:rsid w:val="002222AD"/>
    <w:rsid w:val="00222433"/>
    <w:rsid w:val="00222589"/>
    <w:rsid w:val="00222602"/>
    <w:rsid w:val="00222DA5"/>
    <w:rsid w:val="00222E3D"/>
    <w:rsid w:val="00222F16"/>
    <w:rsid w:val="002233A2"/>
    <w:rsid w:val="00223A4B"/>
    <w:rsid w:val="00223BBF"/>
    <w:rsid w:val="00223C52"/>
    <w:rsid w:val="002241F3"/>
    <w:rsid w:val="002243F7"/>
    <w:rsid w:val="00224C0C"/>
    <w:rsid w:val="00225046"/>
    <w:rsid w:val="0022513D"/>
    <w:rsid w:val="0022537C"/>
    <w:rsid w:val="002253C6"/>
    <w:rsid w:val="0022549F"/>
    <w:rsid w:val="00225545"/>
    <w:rsid w:val="0022556D"/>
    <w:rsid w:val="00225729"/>
    <w:rsid w:val="002258C5"/>
    <w:rsid w:val="00225987"/>
    <w:rsid w:val="002259FC"/>
    <w:rsid w:val="00225B26"/>
    <w:rsid w:val="00225D52"/>
    <w:rsid w:val="00225FB4"/>
    <w:rsid w:val="0022625A"/>
    <w:rsid w:val="002262CB"/>
    <w:rsid w:val="00226766"/>
    <w:rsid w:val="002268A0"/>
    <w:rsid w:val="0022694B"/>
    <w:rsid w:val="00226FB6"/>
    <w:rsid w:val="00226FBA"/>
    <w:rsid w:val="00227144"/>
    <w:rsid w:val="0022722A"/>
    <w:rsid w:val="002274A9"/>
    <w:rsid w:val="002275D9"/>
    <w:rsid w:val="002276F7"/>
    <w:rsid w:val="00227B9E"/>
    <w:rsid w:val="00227BF3"/>
    <w:rsid w:val="00227D00"/>
    <w:rsid w:val="002304D4"/>
    <w:rsid w:val="002309B0"/>
    <w:rsid w:val="00230A5B"/>
    <w:rsid w:val="00230B22"/>
    <w:rsid w:val="00230C98"/>
    <w:rsid w:val="0023125F"/>
    <w:rsid w:val="002312FA"/>
    <w:rsid w:val="002313E8"/>
    <w:rsid w:val="002316B2"/>
    <w:rsid w:val="00231701"/>
    <w:rsid w:val="002317C8"/>
    <w:rsid w:val="002317D5"/>
    <w:rsid w:val="002318C4"/>
    <w:rsid w:val="00231985"/>
    <w:rsid w:val="00231B34"/>
    <w:rsid w:val="00231E17"/>
    <w:rsid w:val="00231F7A"/>
    <w:rsid w:val="0023207C"/>
    <w:rsid w:val="002320F9"/>
    <w:rsid w:val="00232441"/>
    <w:rsid w:val="00232463"/>
    <w:rsid w:val="00232BD0"/>
    <w:rsid w:val="00232DDE"/>
    <w:rsid w:val="00232F9E"/>
    <w:rsid w:val="0023314F"/>
    <w:rsid w:val="00233276"/>
    <w:rsid w:val="0023347C"/>
    <w:rsid w:val="00233CEE"/>
    <w:rsid w:val="00233E92"/>
    <w:rsid w:val="00233F1F"/>
    <w:rsid w:val="00234335"/>
    <w:rsid w:val="00234551"/>
    <w:rsid w:val="002348CC"/>
    <w:rsid w:val="0023490A"/>
    <w:rsid w:val="00234AE7"/>
    <w:rsid w:val="0023535C"/>
    <w:rsid w:val="00235403"/>
    <w:rsid w:val="002357FF"/>
    <w:rsid w:val="00235902"/>
    <w:rsid w:val="00235990"/>
    <w:rsid w:val="00235A75"/>
    <w:rsid w:val="00235BE7"/>
    <w:rsid w:val="00235CE0"/>
    <w:rsid w:val="00235E1B"/>
    <w:rsid w:val="00235F2E"/>
    <w:rsid w:val="0023622F"/>
    <w:rsid w:val="00236355"/>
    <w:rsid w:val="002363FF"/>
    <w:rsid w:val="0023657F"/>
    <w:rsid w:val="00236615"/>
    <w:rsid w:val="00236A06"/>
    <w:rsid w:val="00236C37"/>
    <w:rsid w:val="00236D45"/>
    <w:rsid w:val="002373A8"/>
    <w:rsid w:val="0023758D"/>
    <w:rsid w:val="00237B2F"/>
    <w:rsid w:val="00237BD4"/>
    <w:rsid w:val="00237E0C"/>
    <w:rsid w:val="002400C1"/>
    <w:rsid w:val="002403D1"/>
    <w:rsid w:val="002403D6"/>
    <w:rsid w:val="00240857"/>
    <w:rsid w:val="00240920"/>
    <w:rsid w:val="00240A2B"/>
    <w:rsid w:val="00240B80"/>
    <w:rsid w:val="00240FD2"/>
    <w:rsid w:val="002410BC"/>
    <w:rsid w:val="002415EA"/>
    <w:rsid w:val="00241839"/>
    <w:rsid w:val="002418AE"/>
    <w:rsid w:val="00241ADD"/>
    <w:rsid w:val="00241C49"/>
    <w:rsid w:val="00241CE7"/>
    <w:rsid w:val="002423ED"/>
    <w:rsid w:val="0024250D"/>
    <w:rsid w:val="00242C6B"/>
    <w:rsid w:val="0024362B"/>
    <w:rsid w:val="00243804"/>
    <w:rsid w:val="00243A5C"/>
    <w:rsid w:val="00243B6B"/>
    <w:rsid w:val="00243C46"/>
    <w:rsid w:val="00243C6F"/>
    <w:rsid w:val="00243CB0"/>
    <w:rsid w:val="00243F1F"/>
    <w:rsid w:val="00243FBF"/>
    <w:rsid w:val="002441D4"/>
    <w:rsid w:val="0024443F"/>
    <w:rsid w:val="002446D0"/>
    <w:rsid w:val="00244B71"/>
    <w:rsid w:val="00244CE3"/>
    <w:rsid w:val="00244D14"/>
    <w:rsid w:val="00244EB3"/>
    <w:rsid w:val="0024537F"/>
    <w:rsid w:val="002455B9"/>
    <w:rsid w:val="0024584F"/>
    <w:rsid w:val="00245FFC"/>
    <w:rsid w:val="00246079"/>
    <w:rsid w:val="00246213"/>
    <w:rsid w:val="00246255"/>
    <w:rsid w:val="00246271"/>
    <w:rsid w:val="002462AD"/>
    <w:rsid w:val="002464A9"/>
    <w:rsid w:val="002464BB"/>
    <w:rsid w:val="00246659"/>
    <w:rsid w:val="0024688A"/>
    <w:rsid w:val="002469B6"/>
    <w:rsid w:val="0024711B"/>
    <w:rsid w:val="0024730D"/>
    <w:rsid w:val="002479B2"/>
    <w:rsid w:val="002479DB"/>
    <w:rsid w:val="00250202"/>
    <w:rsid w:val="002502AF"/>
    <w:rsid w:val="00250958"/>
    <w:rsid w:val="00250A01"/>
    <w:rsid w:val="00250A38"/>
    <w:rsid w:val="00250C6C"/>
    <w:rsid w:val="00250CA2"/>
    <w:rsid w:val="00250E95"/>
    <w:rsid w:val="002510C4"/>
    <w:rsid w:val="00251661"/>
    <w:rsid w:val="002516A7"/>
    <w:rsid w:val="00251789"/>
    <w:rsid w:val="00251D99"/>
    <w:rsid w:val="00251E74"/>
    <w:rsid w:val="00251EAB"/>
    <w:rsid w:val="002521FE"/>
    <w:rsid w:val="00252265"/>
    <w:rsid w:val="00252565"/>
    <w:rsid w:val="00252840"/>
    <w:rsid w:val="00252BBA"/>
    <w:rsid w:val="00252BCF"/>
    <w:rsid w:val="0025398F"/>
    <w:rsid w:val="00253A95"/>
    <w:rsid w:val="00253AC2"/>
    <w:rsid w:val="00253CEB"/>
    <w:rsid w:val="00254455"/>
    <w:rsid w:val="00254659"/>
    <w:rsid w:val="002546F4"/>
    <w:rsid w:val="0025483E"/>
    <w:rsid w:val="00254894"/>
    <w:rsid w:val="00254E38"/>
    <w:rsid w:val="00254E50"/>
    <w:rsid w:val="00254F88"/>
    <w:rsid w:val="002551A0"/>
    <w:rsid w:val="0025573B"/>
    <w:rsid w:val="0025574B"/>
    <w:rsid w:val="002557F2"/>
    <w:rsid w:val="00255A2A"/>
    <w:rsid w:val="00255A7F"/>
    <w:rsid w:val="00255D04"/>
    <w:rsid w:val="002560A5"/>
    <w:rsid w:val="002560ED"/>
    <w:rsid w:val="00256154"/>
    <w:rsid w:val="00256349"/>
    <w:rsid w:val="002564D5"/>
    <w:rsid w:val="002566EC"/>
    <w:rsid w:val="00256844"/>
    <w:rsid w:val="00256919"/>
    <w:rsid w:val="00256947"/>
    <w:rsid w:val="00256CA8"/>
    <w:rsid w:val="00256D0B"/>
    <w:rsid w:val="0025724C"/>
    <w:rsid w:val="002572DE"/>
    <w:rsid w:val="0025733A"/>
    <w:rsid w:val="00257371"/>
    <w:rsid w:val="002573A0"/>
    <w:rsid w:val="00257443"/>
    <w:rsid w:val="0025769E"/>
    <w:rsid w:val="00257C02"/>
    <w:rsid w:val="002602FD"/>
    <w:rsid w:val="00260342"/>
    <w:rsid w:val="0026059B"/>
    <w:rsid w:val="0026071C"/>
    <w:rsid w:val="00260877"/>
    <w:rsid w:val="00260A22"/>
    <w:rsid w:val="00260E5B"/>
    <w:rsid w:val="0026126D"/>
    <w:rsid w:val="002612FD"/>
    <w:rsid w:val="00261731"/>
    <w:rsid w:val="00261C1A"/>
    <w:rsid w:val="00261F43"/>
    <w:rsid w:val="00261FDA"/>
    <w:rsid w:val="0026203C"/>
    <w:rsid w:val="002620A5"/>
    <w:rsid w:val="0026235D"/>
    <w:rsid w:val="002623AD"/>
    <w:rsid w:val="002624F6"/>
    <w:rsid w:val="00262D47"/>
    <w:rsid w:val="002639CA"/>
    <w:rsid w:val="00263A9E"/>
    <w:rsid w:val="00263E98"/>
    <w:rsid w:val="002642BC"/>
    <w:rsid w:val="00264511"/>
    <w:rsid w:val="002648AE"/>
    <w:rsid w:val="002648BC"/>
    <w:rsid w:val="0026490F"/>
    <w:rsid w:val="00264BA2"/>
    <w:rsid w:val="00264C81"/>
    <w:rsid w:val="00264FBE"/>
    <w:rsid w:val="00265196"/>
    <w:rsid w:val="002651ED"/>
    <w:rsid w:val="00265938"/>
    <w:rsid w:val="002661A0"/>
    <w:rsid w:val="00266907"/>
    <w:rsid w:val="00266DD3"/>
    <w:rsid w:val="00266EAF"/>
    <w:rsid w:val="002670E3"/>
    <w:rsid w:val="0026719F"/>
    <w:rsid w:val="002677C4"/>
    <w:rsid w:val="00267C45"/>
    <w:rsid w:val="00267CFB"/>
    <w:rsid w:val="00267D19"/>
    <w:rsid w:val="00267E74"/>
    <w:rsid w:val="002700E5"/>
    <w:rsid w:val="0027020C"/>
    <w:rsid w:val="00270505"/>
    <w:rsid w:val="00270540"/>
    <w:rsid w:val="00270775"/>
    <w:rsid w:val="00270A58"/>
    <w:rsid w:val="00270E10"/>
    <w:rsid w:val="00270F5C"/>
    <w:rsid w:val="00271242"/>
    <w:rsid w:val="002715AE"/>
    <w:rsid w:val="00271891"/>
    <w:rsid w:val="00271979"/>
    <w:rsid w:val="00271C9E"/>
    <w:rsid w:val="00271DC3"/>
    <w:rsid w:val="0027281E"/>
    <w:rsid w:val="0027285F"/>
    <w:rsid w:val="00272C6D"/>
    <w:rsid w:val="00272FD6"/>
    <w:rsid w:val="00273044"/>
    <w:rsid w:val="00273047"/>
    <w:rsid w:val="0027338D"/>
    <w:rsid w:val="002734ED"/>
    <w:rsid w:val="0027369B"/>
    <w:rsid w:val="00273B33"/>
    <w:rsid w:val="00273B35"/>
    <w:rsid w:val="00273BFF"/>
    <w:rsid w:val="0027415B"/>
    <w:rsid w:val="00274584"/>
    <w:rsid w:val="002745AC"/>
    <w:rsid w:val="002746E2"/>
    <w:rsid w:val="002749AD"/>
    <w:rsid w:val="00274F65"/>
    <w:rsid w:val="002753A6"/>
    <w:rsid w:val="00275BB3"/>
    <w:rsid w:val="00276406"/>
    <w:rsid w:val="00276631"/>
    <w:rsid w:val="00276B35"/>
    <w:rsid w:val="0027711B"/>
    <w:rsid w:val="002774EB"/>
    <w:rsid w:val="002775D3"/>
    <w:rsid w:val="00277674"/>
    <w:rsid w:val="00277B66"/>
    <w:rsid w:val="00277F2A"/>
    <w:rsid w:val="00280397"/>
    <w:rsid w:val="002804A5"/>
    <w:rsid w:val="0028082B"/>
    <w:rsid w:val="00280A43"/>
    <w:rsid w:val="00280C42"/>
    <w:rsid w:val="002812F7"/>
    <w:rsid w:val="00281AE5"/>
    <w:rsid w:val="00281D1F"/>
    <w:rsid w:val="00281FBF"/>
    <w:rsid w:val="00282040"/>
    <w:rsid w:val="0028243C"/>
    <w:rsid w:val="002824B0"/>
    <w:rsid w:val="00282684"/>
    <w:rsid w:val="0028270C"/>
    <w:rsid w:val="00282758"/>
    <w:rsid w:val="00282CB9"/>
    <w:rsid w:val="00282EA2"/>
    <w:rsid w:val="00282F1E"/>
    <w:rsid w:val="002833DA"/>
    <w:rsid w:val="0028342D"/>
    <w:rsid w:val="0028359E"/>
    <w:rsid w:val="00283632"/>
    <w:rsid w:val="00283687"/>
    <w:rsid w:val="002836F1"/>
    <w:rsid w:val="0028371F"/>
    <w:rsid w:val="002840BC"/>
    <w:rsid w:val="002842A3"/>
    <w:rsid w:val="0028458E"/>
    <w:rsid w:val="002847A2"/>
    <w:rsid w:val="002848A1"/>
    <w:rsid w:val="00284BB3"/>
    <w:rsid w:val="00284FCD"/>
    <w:rsid w:val="00284FF7"/>
    <w:rsid w:val="002852AF"/>
    <w:rsid w:val="002858DD"/>
    <w:rsid w:val="00285A2C"/>
    <w:rsid w:val="00285A35"/>
    <w:rsid w:val="00285B5E"/>
    <w:rsid w:val="00285CD2"/>
    <w:rsid w:val="00285F84"/>
    <w:rsid w:val="00285F96"/>
    <w:rsid w:val="0028628A"/>
    <w:rsid w:val="0028635C"/>
    <w:rsid w:val="00286549"/>
    <w:rsid w:val="002866C0"/>
    <w:rsid w:val="00286B84"/>
    <w:rsid w:val="00286D03"/>
    <w:rsid w:val="00286DBF"/>
    <w:rsid w:val="00286F42"/>
    <w:rsid w:val="00286F69"/>
    <w:rsid w:val="0028720B"/>
    <w:rsid w:val="0028732D"/>
    <w:rsid w:val="002873AF"/>
    <w:rsid w:val="002878C7"/>
    <w:rsid w:val="00287F35"/>
    <w:rsid w:val="002902C2"/>
    <w:rsid w:val="0029044D"/>
    <w:rsid w:val="00290566"/>
    <w:rsid w:val="002906DD"/>
    <w:rsid w:val="0029073A"/>
    <w:rsid w:val="00290A5B"/>
    <w:rsid w:val="00291507"/>
    <w:rsid w:val="002915B9"/>
    <w:rsid w:val="00291675"/>
    <w:rsid w:val="002918A8"/>
    <w:rsid w:val="00291D42"/>
    <w:rsid w:val="00291DE5"/>
    <w:rsid w:val="00291E10"/>
    <w:rsid w:val="00291FEA"/>
    <w:rsid w:val="00292028"/>
    <w:rsid w:val="00292139"/>
    <w:rsid w:val="002923FE"/>
    <w:rsid w:val="002928DC"/>
    <w:rsid w:val="002929D9"/>
    <w:rsid w:val="00292C28"/>
    <w:rsid w:val="00292CBE"/>
    <w:rsid w:val="002933CB"/>
    <w:rsid w:val="002934BC"/>
    <w:rsid w:val="00293620"/>
    <w:rsid w:val="002936F2"/>
    <w:rsid w:val="00293757"/>
    <w:rsid w:val="002938E6"/>
    <w:rsid w:val="00293B33"/>
    <w:rsid w:val="00293BE6"/>
    <w:rsid w:val="00293C97"/>
    <w:rsid w:val="002940CE"/>
    <w:rsid w:val="00294165"/>
    <w:rsid w:val="00294426"/>
    <w:rsid w:val="002947A1"/>
    <w:rsid w:val="00294B66"/>
    <w:rsid w:val="00294CA7"/>
    <w:rsid w:val="00294E01"/>
    <w:rsid w:val="00294FE8"/>
    <w:rsid w:val="002951C0"/>
    <w:rsid w:val="00295209"/>
    <w:rsid w:val="002952A5"/>
    <w:rsid w:val="002954E7"/>
    <w:rsid w:val="002954E8"/>
    <w:rsid w:val="00295A96"/>
    <w:rsid w:val="00295D87"/>
    <w:rsid w:val="00295DF2"/>
    <w:rsid w:val="00295F10"/>
    <w:rsid w:val="00296678"/>
    <w:rsid w:val="00296922"/>
    <w:rsid w:val="00296C26"/>
    <w:rsid w:val="00296C5D"/>
    <w:rsid w:val="00296D0E"/>
    <w:rsid w:val="00296F1A"/>
    <w:rsid w:val="002970DC"/>
    <w:rsid w:val="00297169"/>
    <w:rsid w:val="00297171"/>
    <w:rsid w:val="00297234"/>
    <w:rsid w:val="00297BC1"/>
    <w:rsid w:val="00297F70"/>
    <w:rsid w:val="00297FF0"/>
    <w:rsid w:val="002A00A7"/>
    <w:rsid w:val="002A033B"/>
    <w:rsid w:val="002A0812"/>
    <w:rsid w:val="002A0A19"/>
    <w:rsid w:val="002A0B66"/>
    <w:rsid w:val="002A0D88"/>
    <w:rsid w:val="002A0EAE"/>
    <w:rsid w:val="002A144D"/>
    <w:rsid w:val="002A19F5"/>
    <w:rsid w:val="002A1C00"/>
    <w:rsid w:val="002A20E0"/>
    <w:rsid w:val="002A22D3"/>
    <w:rsid w:val="002A22D4"/>
    <w:rsid w:val="002A28A6"/>
    <w:rsid w:val="002A28A8"/>
    <w:rsid w:val="002A2D5B"/>
    <w:rsid w:val="002A3012"/>
    <w:rsid w:val="002A352B"/>
    <w:rsid w:val="002A3797"/>
    <w:rsid w:val="002A399D"/>
    <w:rsid w:val="002A3B32"/>
    <w:rsid w:val="002A3B7C"/>
    <w:rsid w:val="002A435C"/>
    <w:rsid w:val="002A43E5"/>
    <w:rsid w:val="002A4B7E"/>
    <w:rsid w:val="002A4D85"/>
    <w:rsid w:val="002A4D88"/>
    <w:rsid w:val="002A4F90"/>
    <w:rsid w:val="002A51AF"/>
    <w:rsid w:val="002A5614"/>
    <w:rsid w:val="002A5717"/>
    <w:rsid w:val="002A57BC"/>
    <w:rsid w:val="002A57E2"/>
    <w:rsid w:val="002A583E"/>
    <w:rsid w:val="002A5896"/>
    <w:rsid w:val="002A5A41"/>
    <w:rsid w:val="002A5D4B"/>
    <w:rsid w:val="002A60F7"/>
    <w:rsid w:val="002A627C"/>
    <w:rsid w:val="002A62E0"/>
    <w:rsid w:val="002A63D7"/>
    <w:rsid w:val="002A6581"/>
    <w:rsid w:val="002A66B7"/>
    <w:rsid w:val="002A66DA"/>
    <w:rsid w:val="002A679D"/>
    <w:rsid w:val="002A6ADE"/>
    <w:rsid w:val="002A6AF2"/>
    <w:rsid w:val="002A6C3D"/>
    <w:rsid w:val="002A6C6E"/>
    <w:rsid w:val="002A6CB8"/>
    <w:rsid w:val="002A70A3"/>
    <w:rsid w:val="002A7BA8"/>
    <w:rsid w:val="002A7FC8"/>
    <w:rsid w:val="002A7FE6"/>
    <w:rsid w:val="002B0244"/>
    <w:rsid w:val="002B0250"/>
    <w:rsid w:val="002B03D2"/>
    <w:rsid w:val="002B070C"/>
    <w:rsid w:val="002B07B5"/>
    <w:rsid w:val="002B09FE"/>
    <w:rsid w:val="002B0ABE"/>
    <w:rsid w:val="002B0CBC"/>
    <w:rsid w:val="002B12BE"/>
    <w:rsid w:val="002B146A"/>
    <w:rsid w:val="002B15C3"/>
    <w:rsid w:val="002B15F9"/>
    <w:rsid w:val="002B183A"/>
    <w:rsid w:val="002B19E8"/>
    <w:rsid w:val="002B1B58"/>
    <w:rsid w:val="002B1E4C"/>
    <w:rsid w:val="002B1F36"/>
    <w:rsid w:val="002B25C7"/>
    <w:rsid w:val="002B28D0"/>
    <w:rsid w:val="002B2961"/>
    <w:rsid w:val="002B2B88"/>
    <w:rsid w:val="002B2CC1"/>
    <w:rsid w:val="002B2D11"/>
    <w:rsid w:val="002B2E58"/>
    <w:rsid w:val="002B3474"/>
    <w:rsid w:val="002B37AC"/>
    <w:rsid w:val="002B3885"/>
    <w:rsid w:val="002B3A16"/>
    <w:rsid w:val="002B3A98"/>
    <w:rsid w:val="002B4003"/>
    <w:rsid w:val="002B45FC"/>
    <w:rsid w:val="002B49F0"/>
    <w:rsid w:val="002B50F7"/>
    <w:rsid w:val="002B5220"/>
    <w:rsid w:val="002B5433"/>
    <w:rsid w:val="002B55B5"/>
    <w:rsid w:val="002B600C"/>
    <w:rsid w:val="002B6096"/>
    <w:rsid w:val="002B6112"/>
    <w:rsid w:val="002B62FC"/>
    <w:rsid w:val="002B667E"/>
    <w:rsid w:val="002B6856"/>
    <w:rsid w:val="002B6EBB"/>
    <w:rsid w:val="002B6FF2"/>
    <w:rsid w:val="002B7081"/>
    <w:rsid w:val="002B747F"/>
    <w:rsid w:val="002B7723"/>
    <w:rsid w:val="002B78A4"/>
    <w:rsid w:val="002B78D9"/>
    <w:rsid w:val="002B7994"/>
    <w:rsid w:val="002B7AE0"/>
    <w:rsid w:val="002B7FC2"/>
    <w:rsid w:val="002C0060"/>
    <w:rsid w:val="002C01D8"/>
    <w:rsid w:val="002C05D2"/>
    <w:rsid w:val="002C094E"/>
    <w:rsid w:val="002C0A8C"/>
    <w:rsid w:val="002C0B99"/>
    <w:rsid w:val="002C0FBA"/>
    <w:rsid w:val="002C103E"/>
    <w:rsid w:val="002C1398"/>
    <w:rsid w:val="002C13E3"/>
    <w:rsid w:val="002C1518"/>
    <w:rsid w:val="002C1BAB"/>
    <w:rsid w:val="002C2051"/>
    <w:rsid w:val="002C21EF"/>
    <w:rsid w:val="002C21F9"/>
    <w:rsid w:val="002C2220"/>
    <w:rsid w:val="002C25A6"/>
    <w:rsid w:val="002C265E"/>
    <w:rsid w:val="002C2698"/>
    <w:rsid w:val="002C27D5"/>
    <w:rsid w:val="002C2AAF"/>
    <w:rsid w:val="002C2E8B"/>
    <w:rsid w:val="002C2FB7"/>
    <w:rsid w:val="002C307B"/>
    <w:rsid w:val="002C3100"/>
    <w:rsid w:val="002C3417"/>
    <w:rsid w:val="002C37EC"/>
    <w:rsid w:val="002C390E"/>
    <w:rsid w:val="002C3BC9"/>
    <w:rsid w:val="002C3C89"/>
    <w:rsid w:val="002C3D28"/>
    <w:rsid w:val="002C41A1"/>
    <w:rsid w:val="002C41B9"/>
    <w:rsid w:val="002C4204"/>
    <w:rsid w:val="002C446D"/>
    <w:rsid w:val="002C470B"/>
    <w:rsid w:val="002C4951"/>
    <w:rsid w:val="002C4C48"/>
    <w:rsid w:val="002C4CE0"/>
    <w:rsid w:val="002C4DB6"/>
    <w:rsid w:val="002C5067"/>
    <w:rsid w:val="002C5099"/>
    <w:rsid w:val="002C56D5"/>
    <w:rsid w:val="002C5A5D"/>
    <w:rsid w:val="002C5C7A"/>
    <w:rsid w:val="002C5DFF"/>
    <w:rsid w:val="002C5EBC"/>
    <w:rsid w:val="002C63B0"/>
    <w:rsid w:val="002C66C5"/>
    <w:rsid w:val="002C6BC6"/>
    <w:rsid w:val="002C6BEF"/>
    <w:rsid w:val="002C6FC2"/>
    <w:rsid w:val="002C730F"/>
    <w:rsid w:val="002C78A7"/>
    <w:rsid w:val="002C7D05"/>
    <w:rsid w:val="002C7EE0"/>
    <w:rsid w:val="002D013D"/>
    <w:rsid w:val="002D024D"/>
    <w:rsid w:val="002D031F"/>
    <w:rsid w:val="002D03A3"/>
    <w:rsid w:val="002D04DE"/>
    <w:rsid w:val="002D05E3"/>
    <w:rsid w:val="002D07B6"/>
    <w:rsid w:val="002D0A65"/>
    <w:rsid w:val="002D0E58"/>
    <w:rsid w:val="002D100F"/>
    <w:rsid w:val="002D1365"/>
    <w:rsid w:val="002D13C4"/>
    <w:rsid w:val="002D146E"/>
    <w:rsid w:val="002D1935"/>
    <w:rsid w:val="002D1970"/>
    <w:rsid w:val="002D199B"/>
    <w:rsid w:val="002D19EB"/>
    <w:rsid w:val="002D1C52"/>
    <w:rsid w:val="002D1F8F"/>
    <w:rsid w:val="002D20E9"/>
    <w:rsid w:val="002D2372"/>
    <w:rsid w:val="002D26E0"/>
    <w:rsid w:val="002D295E"/>
    <w:rsid w:val="002D2A4C"/>
    <w:rsid w:val="002D33A5"/>
    <w:rsid w:val="002D3418"/>
    <w:rsid w:val="002D36C3"/>
    <w:rsid w:val="002D39BF"/>
    <w:rsid w:val="002D3D02"/>
    <w:rsid w:val="002D3E64"/>
    <w:rsid w:val="002D3EDF"/>
    <w:rsid w:val="002D3F15"/>
    <w:rsid w:val="002D43E8"/>
    <w:rsid w:val="002D4764"/>
    <w:rsid w:val="002D47D2"/>
    <w:rsid w:val="002D4DB8"/>
    <w:rsid w:val="002D5153"/>
    <w:rsid w:val="002D53D6"/>
    <w:rsid w:val="002D562D"/>
    <w:rsid w:val="002D566C"/>
    <w:rsid w:val="002D5891"/>
    <w:rsid w:val="002D5A70"/>
    <w:rsid w:val="002D5B17"/>
    <w:rsid w:val="002D5F3F"/>
    <w:rsid w:val="002D6642"/>
    <w:rsid w:val="002D67A7"/>
    <w:rsid w:val="002D67E7"/>
    <w:rsid w:val="002D6B09"/>
    <w:rsid w:val="002D6B29"/>
    <w:rsid w:val="002D6C97"/>
    <w:rsid w:val="002D7219"/>
    <w:rsid w:val="002D768A"/>
    <w:rsid w:val="002D76BE"/>
    <w:rsid w:val="002D7A71"/>
    <w:rsid w:val="002D7B31"/>
    <w:rsid w:val="002D7C3B"/>
    <w:rsid w:val="002D7E58"/>
    <w:rsid w:val="002E0098"/>
    <w:rsid w:val="002E00E3"/>
    <w:rsid w:val="002E025B"/>
    <w:rsid w:val="002E0275"/>
    <w:rsid w:val="002E02FC"/>
    <w:rsid w:val="002E047D"/>
    <w:rsid w:val="002E055C"/>
    <w:rsid w:val="002E0C12"/>
    <w:rsid w:val="002E0E72"/>
    <w:rsid w:val="002E0F32"/>
    <w:rsid w:val="002E126E"/>
    <w:rsid w:val="002E12AD"/>
    <w:rsid w:val="002E13F7"/>
    <w:rsid w:val="002E15D9"/>
    <w:rsid w:val="002E1AB9"/>
    <w:rsid w:val="002E1CAB"/>
    <w:rsid w:val="002E1DD2"/>
    <w:rsid w:val="002E1F6E"/>
    <w:rsid w:val="002E2189"/>
    <w:rsid w:val="002E23D4"/>
    <w:rsid w:val="002E257C"/>
    <w:rsid w:val="002E2757"/>
    <w:rsid w:val="002E2C69"/>
    <w:rsid w:val="002E3156"/>
    <w:rsid w:val="002E36ED"/>
    <w:rsid w:val="002E3BCD"/>
    <w:rsid w:val="002E3CC2"/>
    <w:rsid w:val="002E3FF1"/>
    <w:rsid w:val="002E4026"/>
    <w:rsid w:val="002E40C9"/>
    <w:rsid w:val="002E41D4"/>
    <w:rsid w:val="002E46B4"/>
    <w:rsid w:val="002E493A"/>
    <w:rsid w:val="002E4975"/>
    <w:rsid w:val="002E4AE1"/>
    <w:rsid w:val="002E4C5F"/>
    <w:rsid w:val="002E4EBD"/>
    <w:rsid w:val="002E4FA6"/>
    <w:rsid w:val="002E51FC"/>
    <w:rsid w:val="002E53E9"/>
    <w:rsid w:val="002E56BC"/>
    <w:rsid w:val="002E57EF"/>
    <w:rsid w:val="002E59FD"/>
    <w:rsid w:val="002E5C53"/>
    <w:rsid w:val="002E63BC"/>
    <w:rsid w:val="002E63FA"/>
    <w:rsid w:val="002E6526"/>
    <w:rsid w:val="002E7245"/>
    <w:rsid w:val="002E76B5"/>
    <w:rsid w:val="002E779F"/>
    <w:rsid w:val="002F0341"/>
    <w:rsid w:val="002F039D"/>
    <w:rsid w:val="002F0802"/>
    <w:rsid w:val="002F08CC"/>
    <w:rsid w:val="002F0905"/>
    <w:rsid w:val="002F0C39"/>
    <w:rsid w:val="002F0C60"/>
    <w:rsid w:val="002F1301"/>
    <w:rsid w:val="002F134D"/>
    <w:rsid w:val="002F21E0"/>
    <w:rsid w:val="002F2292"/>
    <w:rsid w:val="002F2669"/>
    <w:rsid w:val="002F269D"/>
    <w:rsid w:val="002F26BF"/>
    <w:rsid w:val="002F294F"/>
    <w:rsid w:val="002F2C59"/>
    <w:rsid w:val="002F2D0D"/>
    <w:rsid w:val="002F2DCB"/>
    <w:rsid w:val="002F2E07"/>
    <w:rsid w:val="002F30F5"/>
    <w:rsid w:val="002F344E"/>
    <w:rsid w:val="002F37BF"/>
    <w:rsid w:val="002F3928"/>
    <w:rsid w:val="002F3E0C"/>
    <w:rsid w:val="002F40F9"/>
    <w:rsid w:val="002F4199"/>
    <w:rsid w:val="002F4231"/>
    <w:rsid w:val="002F42AE"/>
    <w:rsid w:val="002F45A2"/>
    <w:rsid w:val="002F4D1E"/>
    <w:rsid w:val="002F505E"/>
    <w:rsid w:val="002F5370"/>
    <w:rsid w:val="002F55E2"/>
    <w:rsid w:val="002F5929"/>
    <w:rsid w:val="002F59B5"/>
    <w:rsid w:val="002F5D15"/>
    <w:rsid w:val="002F6424"/>
    <w:rsid w:val="002F6496"/>
    <w:rsid w:val="002F6715"/>
    <w:rsid w:val="002F6774"/>
    <w:rsid w:val="002F67CD"/>
    <w:rsid w:val="002F6CC8"/>
    <w:rsid w:val="002F6D46"/>
    <w:rsid w:val="002F6DAF"/>
    <w:rsid w:val="002F6E44"/>
    <w:rsid w:val="002F6EC5"/>
    <w:rsid w:val="002F716C"/>
    <w:rsid w:val="002F7197"/>
    <w:rsid w:val="002F769F"/>
    <w:rsid w:val="002F78F2"/>
    <w:rsid w:val="002F793B"/>
    <w:rsid w:val="002F7AB2"/>
    <w:rsid w:val="002F7B07"/>
    <w:rsid w:val="002F7B92"/>
    <w:rsid w:val="002F7DF5"/>
    <w:rsid w:val="002F7E3E"/>
    <w:rsid w:val="00300020"/>
    <w:rsid w:val="003004AA"/>
    <w:rsid w:val="00300873"/>
    <w:rsid w:val="003008B1"/>
    <w:rsid w:val="00301B6F"/>
    <w:rsid w:val="00301C05"/>
    <w:rsid w:val="003028FC"/>
    <w:rsid w:val="00302B1A"/>
    <w:rsid w:val="00302B7F"/>
    <w:rsid w:val="00302BAD"/>
    <w:rsid w:val="00302F02"/>
    <w:rsid w:val="00303137"/>
    <w:rsid w:val="00303348"/>
    <w:rsid w:val="00303B70"/>
    <w:rsid w:val="00303CD6"/>
    <w:rsid w:val="00303F13"/>
    <w:rsid w:val="00303F9B"/>
    <w:rsid w:val="00304118"/>
    <w:rsid w:val="003043B1"/>
    <w:rsid w:val="0030451A"/>
    <w:rsid w:val="00304A10"/>
    <w:rsid w:val="00304A12"/>
    <w:rsid w:val="00304C01"/>
    <w:rsid w:val="0030550D"/>
    <w:rsid w:val="00305653"/>
    <w:rsid w:val="0030591E"/>
    <w:rsid w:val="00305936"/>
    <w:rsid w:val="003060A3"/>
    <w:rsid w:val="0030618F"/>
    <w:rsid w:val="00306203"/>
    <w:rsid w:val="003064ED"/>
    <w:rsid w:val="003064EE"/>
    <w:rsid w:val="0030667F"/>
    <w:rsid w:val="00306698"/>
    <w:rsid w:val="0030674D"/>
    <w:rsid w:val="0030681B"/>
    <w:rsid w:val="003069BA"/>
    <w:rsid w:val="003069F4"/>
    <w:rsid w:val="003071A7"/>
    <w:rsid w:val="00307340"/>
    <w:rsid w:val="003075C6"/>
    <w:rsid w:val="00307648"/>
    <w:rsid w:val="003078C4"/>
    <w:rsid w:val="00307997"/>
    <w:rsid w:val="00307C7A"/>
    <w:rsid w:val="00307EE7"/>
    <w:rsid w:val="00307F97"/>
    <w:rsid w:val="0031019A"/>
    <w:rsid w:val="0031038D"/>
    <w:rsid w:val="00310799"/>
    <w:rsid w:val="00310815"/>
    <w:rsid w:val="00310935"/>
    <w:rsid w:val="00310AC3"/>
    <w:rsid w:val="00310C25"/>
    <w:rsid w:val="00310C8B"/>
    <w:rsid w:val="00310FFB"/>
    <w:rsid w:val="003113A8"/>
    <w:rsid w:val="003113BD"/>
    <w:rsid w:val="00311402"/>
    <w:rsid w:val="00311A38"/>
    <w:rsid w:val="00311A9D"/>
    <w:rsid w:val="00311D80"/>
    <w:rsid w:val="00311F2C"/>
    <w:rsid w:val="00311FDA"/>
    <w:rsid w:val="00312518"/>
    <w:rsid w:val="00312650"/>
    <w:rsid w:val="003128E8"/>
    <w:rsid w:val="003128EA"/>
    <w:rsid w:val="00312BF0"/>
    <w:rsid w:val="00312E00"/>
    <w:rsid w:val="0031315A"/>
    <w:rsid w:val="00313229"/>
    <w:rsid w:val="0031324C"/>
    <w:rsid w:val="0031349C"/>
    <w:rsid w:val="00313562"/>
    <w:rsid w:val="0031360B"/>
    <w:rsid w:val="00313980"/>
    <w:rsid w:val="00313C43"/>
    <w:rsid w:val="00313DCB"/>
    <w:rsid w:val="00313ED3"/>
    <w:rsid w:val="00313F2F"/>
    <w:rsid w:val="0031400E"/>
    <w:rsid w:val="00314077"/>
    <w:rsid w:val="003143B4"/>
    <w:rsid w:val="00314574"/>
    <w:rsid w:val="003148B9"/>
    <w:rsid w:val="0031496A"/>
    <w:rsid w:val="00314A9B"/>
    <w:rsid w:val="00314DB4"/>
    <w:rsid w:val="00315081"/>
    <w:rsid w:val="00315484"/>
    <w:rsid w:val="00315B3D"/>
    <w:rsid w:val="00315BF7"/>
    <w:rsid w:val="003160A8"/>
    <w:rsid w:val="003161E8"/>
    <w:rsid w:val="003161F7"/>
    <w:rsid w:val="00316233"/>
    <w:rsid w:val="0031644F"/>
    <w:rsid w:val="0031657F"/>
    <w:rsid w:val="00316825"/>
    <w:rsid w:val="00316E02"/>
    <w:rsid w:val="00316F31"/>
    <w:rsid w:val="00317098"/>
    <w:rsid w:val="003173DE"/>
    <w:rsid w:val="00317420"/>
    <w:rsid w:val="00317759"/>
    <w:rsid w:val="0031779B"/>
    <w:rsid w:val="00317B23"/>
    <w:rsid w:val="00317CB1"/>
    <w:rsid w:val="00317E25"/>
    <w:rsid w:val="003202D5"/>
    <w:rsid w:val="003204C1"/>
    <w:rsid w:val="003205F8"/>
    <w:rsid w:val="00320804"/>
    <w:rsid w:val="0032098D"/>
    <w:rsid w:val="00320997"/>
    <w:rsid w:val="00320A2A"/>
    <w:rsid w:val="00320B7E"/>
    <w:rsid w:val="00320C5F"/>
    <w:rsid w:val="00320E57"/>
    <w:rsid w:val="00320F43"/>
    <w:rsid w:val="0032142D"/>
    <w:rsid w:val="0032147A"/>
    <w:rsid w:val="003214F4"/>
    <w:rsid w:val="00321721"/>
    <w:rsid w:val="00321D71"/>
    <w:rsid w:val="00321F6A"/>
    <w:rsid w:val="00322244"/>
    <w:rsid w:val="003224FB"/>
    <w:rsid w:val="003226A7"/>
    <w:rsid w:val="0032288B"/>
    <w:rsid w:val="00322C26"/>
    <w:rsid w:val="00322D03"/>
    <w:rsid w:val="00322D22"/>
    <w:rsid w:val="00322F61"/>
    <w:rsid w:val="003230D6"/>
    <w:rsid w:val="0032329B"/>
    <w:rsid w:val="00323365"/>
    <w:rsid w:val="00323462"/>
    <w:rsid w:val="003236DD"/>
    <w:rsid w:val="00323739"/>
    <w:rsid w:val="00323947"/>
    <w:rsid w:val="00323CE3"/>
    <w:rsid w:val="00323D26"/>
    <w:rsid w:val="00323E60"/>
    <w:rsid w:val="00323EF0"/>
    <w:rsid w:val="00324010"/>
    <w:rsid w:val="003240C8"/>
    <w:rsid w:val="003244FC"/>
    <w:rsid w:val="00324723"/>
    <w:rsid w:val="003248B4"/>
    <w:rsid w:val="003248D4"/>
    <w:rsid w:val="00324BFE"/>
    <w:rsid w:val="00324DB8"/>
    <w:rsid w:val="00324FB8"/>
    <w:rsid w:val="00325179"/>
    <w:rsid w:val="003251B3"/>
    <w:rsid w:val="00325284"/>
    <w:rsid w:val="0032536A"/>
    <w:rsid w:val="00325477"/>
    <w:rsid w:val="00326405"/>
    <w:rsid w:val="00326431"/>
    <w:rsid w:val="0032657A"/>
    <w:rsid w:val="0032663B"/>
    <w:rsid w:val="003267B5"/>
    <w:rsid w:val="00326994"/>
    <w:rsid w:val="003269DF"/>
    <w:rsid w:val="00326BC3"/>
    <w:rsid w:val="00326D9A"/>
    <w:rsid w:val="00326DA8"/>
    <w:rsid w:val="00326DB3"/>
    <w:rsid w:val="00326DED"/>
    <w:rsid w:val="00326EA3"/>
    <w:rsid w:val="00326FF0"/>
    <w:rsid w:val="0032712D"/>
    <w:rsid w:val="00327527"/>
    <w:rsid w:val="003275F9"/>
    <w:rsid w:val="003279AE"/>
    <w:rsid w:val="00327C65"/>
    <w:rsid w:val="00327CC1"/>
    <w:rsid w:val="00327CEC"/>
    <w:rsid w:val="00327EBB"/>
    <w:rsid w:val="00327F57"/>
    <w:rsid w:val="00330316"/>
    <w:rsid w:val="003304BC"/>
    <w:rsid w:val="00330CD5"/>
    <w:rsid w:val="00330F89"/>
    <w:rsid w:val="00331768"/>
    <w:rsid w:val="00331875"/>
    <w:rsid w:val="00331A99"/>
    <w:rsid w:val="00331AE3"/>
    <w:rsid w:val="00331B7C"/>
    <w:rsid w:val="00331C2C"/>
    <w:rsid w:val="00331DBB"/>
    <w:rsid w:val="00331E11"/>
    <w:rsid w:val="00331ED7"/>
    <w:rsid w:val="003327A1"/>
    <w:rsid w:val="003328F2"/>
    <w:rsid w:val="003329E3"/>
    <w:rsid w:val="00332A56"/>
    <w:rsid w:val="00332C20"/>
    <w:rsid w:val="00332EEC"/>
    <w:rsid w:val="00332F6F"/>
    <w:rsid w:val="0033332B"/>
    <w:rsid w:val="00333341"/>
    <w:rsid w:val="0033340B"/>
    <w:rsid w:val="00333452"/>
    <w:rsid w:val="00333817"/>
    <w:rsid w:val="00333872"/>
    <w:rsid w:val="0033391A"/>
    <w:rsid w:val="00333C63"/>
    <w:rsid w:val="00334285"/>
    <w:rsid w:val="00334316"/>
    <w:rsid w:val="0033446C"/>
    <w:rsid w:val="0033474C"/>
    <w:rsid w:val="00334CE6"/>
    <w:rsid w:val="00334FE4"/>
    <w:rsid w:val="0033513C"/>
    <w:rsid w:val="00335500"/>
    <w:rsid w:val="003356E2"/>
    <w:rsid w:val="00335F4F"/>
    <w:rsid w:val="0033603D"/>
    <w:rsid w:val="0033642C"/>
    <w:rsid w:val="003367CC"/>
    <w:rsid w:val="00336C8B"/>
    <w:rsid w:val="00336D29"/>
    <w:rsid w:val="00336E21"/>
    <w:rsid w:val="00336F69"/>
    <w:rsid w:val="00337286"/>
    <w:rsid w:val="00337502"/>
    <w:rsid w:val="003376DB"/>
    <w:rsid w:val="0033773D"/>
    <w:rsid w:val="003377BB"/>
    <w:rsid w:val="00337C0F"/>
    <w:rsid w:val="00340205"/>
    <w:rsid w:val="003408AF"/>
    <w:rsid w:val="00340945"/>
    <w:rsid w:val="00340BBB"/>
    <w:rsid w:val="00340E3C"/>
    <w:rsid w:val="00341004"/>
    <w:rsid w:val="00341475"/>
    <w:rsid w:val="003414E4"/>
    <w:rsid w:val="003419ED"/>
    <w:rsid w:val="00341AD9"/>
    <w:rsid w:val="00341B38"/>
    <w:rsid w:val="00341E57"/>
    <w:rsid w:val="00342043"/>
    <w:rsid w:val="00342099"/>
    <w:rsid w:val="00342120"/>
    <w:rsid w:val="0034222F"/>
    <w:rsid w:val="003422FF"/>
    <w:rsid w:val="00342303"/>
    <w:rsid w:val="00342318"/>
    <w:rsid w:val="00342604"/>
    <w:rsid w:val="0034276E"/>
    <w:rsid w:val="00342A4F"/>
    <w:rsid w:val="00342BE3"/>
    <w:rsid w:val="00342D20"/>
    <w:rsid w:val="0034316C"/>
    <w:rsid w:val="0034335E"/>
    <w:rsid w:val="0034398A"/>
    <w:rsid w:val="00343F39"/>
    <w:rsid w:val="00343F8F"/>
    <w:rsid w:val="00344039"/>
    <w:rsid w:val="003444E3"/>
    <w:rsid w:val="00344638"/>
    <w:rsid w:val="00344D06"/>
    <w:rsid w:val="00344EA1"/>
    <w:rsid w:val="0034518A"/>
    <w:rsid w:val="0034544E"/>
    <w:rsid w:val="00345453"/>
    <w:rsid w:val="003458B0"/>
    <w:rsid w:val="00345C4E"/>
    <w:rsid w:val="00345E8F"/>
    <w:rsid w:val="003460E5"/>
    <w:rsid w:val="00346238"/>
    <w:rsid w:val="003462FB"/>
    <w:rsid w:val="00346516"/>
    <w:rsid w:val="003468A7"/>
    <w:rsid w:val="00346DD1"/>
    <w:rsid w:val="00346E46"/>
    <w:rsid w:val="00347049"/>
    <w:rsid w:val="00347487"/>
    <w:rsid w:val="003474E4"/>
    <w:rsid w:val="0034785F"/>
    <w:rsid w:val="00347928"/>
    <w:rsid w:val="0034792A"/>
    <w:rsid w:val="00347FF6"/>
    <w:rsid w:val="00350164"/>
    <w:rsid w:val="00350398"/>
    <w:rsid w:val="003507DA"/>
    <w:rsid w:val="00350BB8"/>
    <w:rsid w:val="003514A6"/>
    <w:rsid w:val="003514F8"/>
    <w:rsid w:val="00351632"/>
    <w:rsid w:val="003516CC"/>
    <w:rsid w:val="003518FA"/>
    <w:rsid w:val="003518FB"/>
    <w:rsid w:val="00351A89"/>
    <w:rsid w:val="00351B14"/>
    <w:rsid w:val="00351C12"/>
    <w:rsid w:val="003523AD"/>
    <w:rsid w:val="00352573"/>
    <w:rsid w:val="00352619"/>
    <w:rsid w:val="003529B5"/>
    <w:rsid w:val="00352B3B"/>
    <w:rsid w:val="0035300A"/>
    <w:rsid w:val="0035306D"/>
    <w:rsid w:val="003532B9"/>
    <w:rsid w:val="003535E5"/>
    <w:rsid w:val="00353C12"/>
    <w:rsid w:val="00353DB8"/>
    <w:rsid w:val="00354005"/>
    <w:rsid w:val="00354262"/>
    <w:rsid w:val="0035430E"/>
    <w:rsid w:val="003548EE"/>
    <w:rsid w:val="00354A4D"/>
    <w:rsid w:val="003551AC"/>
    <w:rsid w:val="003551CA"/>
    <w:rsid w:val="003554DA"/>
    <w:rsid w:val="003555BD"/>
    <w:rsid w:val="00355C0D"/>
    <w:rsid w:val="00355C36"/>
    <w:rsid w:val="00355C3B"/>
    <w:rsid w:val="00355DC8"/>
    <w:rsid w:val="003564B7"/>
    <w:rsid w:val="00356509"/>
    <w:rsid w:val="0035663A"/>
    <w:rsid w:val="0035698F"/>
    <w:rsid w:val="00356ADA"/>
    <w:rsid w:val="00356B3C"/>
    <w:rsid w:val="00356D7D"/>
    <w:rsid w:val="00356E0B"/>
    <w:rsid w:val="00356F8E"/>
    <w:rsid w:val="00357144"/>
    <w:rsid w:val="00357266"/>
    <w:rsid w:val="00357A2D"/>
    <w:rsid w:val="00357C70"/>
    <w:rsid w:val="00360175"/>
    <w:rsid w:val="0036019B"/>
    <w:rsid w:val="00360439"/>
    <w:rsid w:val="0036070B"/>
    <w:rsid w:val="00360A0D"/>
    <w:rsid w:val="00360A69"/>
    <w:rsid w:val="00360BE3"/>
    <w:rsid w:val="00361087"/>
    <w:rsid w:val="00361238"/>
    <w:rsid w:val="00361396"/>
    <w:rsid w:val="003615C7"/>
    <w:rsid w:val="003616DA"/>
    <w:rsid w:val="00361701"/>
    <w:rsid w:val="0036191C"/>
    <w:rsid w:val="00361B2F"/>
    <w:rsid w:val="00361C20"/>
    <w:rsid w:val="00361CDE"/>
    <w:rsid w:val="00361EA7"/>
    <w:rsid w:val="00362110"/>
    <w:rsid w:val="003629F5"/>
    <w:rsid w:val="00362CF3"/>
    <w:rsid w:val="00362E2F"/>
    <w:rsid w:val="00362EBB"/>
    <w:rsid w:val="0036301B"/>
    <w:rsid w:val="00363031"/>
    <w:rsid w:val="00363060"/>
    <w:rsid w:val="00363518"/>
    <w:rsid w:val="00363FE4"/>
    <w:rsid w:val="003642F5"/>
    <w:rsid w:val="003645EA"/>
    <w:rsid w:val="00364720"/>
    <w:rsid w:val="00364B6C"/>
    <w:rsid w:val="00364C59"/>
    <w:rsid w:val="00364C9A"/>
    <w:rsid w:val="00364DBA"/>
    <w:rsid w:val="003650CF"/>
    <w:rsid w:val="00365120"/>
    <w:rsid w:val="003653DA"/>
    <w:rsid w:val="0036578F"/>
    <w:rsid w:val="00365829"/>
    <w:rsid w:val="00365DB3"/>
    <w:rsid w:val="00365DDA"/>
    <w:rsid w:val="00365E73"/>
    <w:rsid w:val="00366499"/>
    <w:rsid w:val="003666A5"/>
    <w:rsid w:val="00366969"/>
    <w:rsid w:val="00366BD6"/>
    <w:rsid w:val="00366C55"/>
    <w:rsid w:val="00366E38"/>
    <w:rsid w:val="00366F55"/>
    <w:rsid w:val="003670E2"/>
    <w:rsid w:val="00367134"/>
    <w:rsid w:val="003675F7"/>
    <w:rsid w:val="00367678"/>
    <w:rsid w:val="003676E9"/>
    <w:rsid w:val="00367AC9"/>
    <w:rsid w:val="00367B12"/>
    <w:rsid w:val="00367CDE"/>
    <w:rsid w:val="00367E56"/>
    <w:rsid w:val="00367E86"/>
    <w:rsid w:val="00367F45"/>
    <w:rsid w:val="00367F5A"/>
    <w:rsid w:val="00367FDF"/>
    <w:rsid w:val="00370234"/>
    <w:rsid w:val="0037026B"/>
    <w:rsid w:val="0037035F"/>
    <w:rsid w:val="003704A0"/>
    <w:rsid w:val="003705F1"/>
    <w:rsid w:val="00370750"/>
    <w:rsid w:val="00370863"/>
    <w:rsid w:val="00370A5B"/>
    <w:rsid w:val="00370B74"/>
    <w:rsid w:val="00370BCC"/>
    <w:rsid w:val="00370D4C"/>
    <w:rsid w:val="00370EB1"/>
    <w:rsid w:val="003710B6"/>
    <w:rsid w:val="0037110A"/>
    <w:rsid w:val="00371236"/>
    <w:rsid w:val="003712A9"/>
    <w:rsid w:val="00371312"/>
    <w:rsid w:val="00371521"/>
    <w:rsid w:val="0037159B"/>
    <w:rsid w:val="00371618"/>
    <w:rsid w:val="003717A6"/>
    <w:rsid w:val="003718DF"/>
    <w:rsid w:val="00371902"/>
    <w:rsid w:val="00371D48"/>
    <w:rsid w:val="0037219A"/>
    <w:rsid w:val="00372400"/>
    <w:rsid w:val="00372838"/>
    <w:rsid w:val="00372E60"/>
    <w:rsid w:val="003731DF"/>
    <w:rsid w:val="003732FB"/>
    <w:rsid w:val="003733D1"/>
    <w:rsid w:val="00373528"/>
    <w:rsid w:val="00373EB7"/>
    <w:rsid w:val="003740C7"/>
    <w:rsid w:val="003740D5"/>
    <w:rsid w:val="003740D9"/>
    <w:rsid w:val="003744AA"/>
    <w:rsid w:val="00374592"/>
    <w:rsid w:val="003746A9"/>
    <w:rsid w:val="00374817"/>
    <w:rsid w:val="003749BE"/>
    <w:rsid w:val="00374DF8"/>
    <w:rsid w:val="00374F7D"/>
    <w:rsid w:val="003751CD"/>
    <w:rsid w:val="00375674"/>
    <w:rsid w:val="003756A0"/>
    <w:rsid w:val="00375729"/>
    <w:rsid w:val="0037590E"/>
    <w:rsid w:val="00375966"/>
    <w:rsid w:val="003759E4"/>
    <w:rsid w:val="00375ACA"/>
    <w:rsid w:val="00375AEB"/>
    <w:rsid w:val="00375CE3"/>
    <w:rsid w:val="00375FA8"/>
    <w:rsid w:val="00376040"/>
    <w:rsid w:val="0037610D"/>
    <w:rsid w:val="00376393"/>
    <w:rsid w:val="00376547"/>
    <w:rsid w:val="0037658B"/>
    <w:rsid w:val="00376647"/>
    <w:rsid w:val="0037666C"/>
    <w:rsid w:val="0037672F"/>
    <w:rsid w:val="0037690D"/>
    <w:rsid w:val="003769EA"/>
    <w:rsid w:val="00376A43"/>
    <w:rsid w:val="00376DA3"/>
    <w:rsid w:val="00377009"/>
    <w:rsid w:val="003773BA"/>
    <w:rsid w:val="0037796F"/>
    <w:rsid w:val="00377E70"/>
    <w:rsid w:val="003804D3"/>
    <w:rsid w:val="00380727"/>
    <w:rsid w:val="00380741"/>
    <w:rsid w:val="00380D35"/>
    <w:rsid w:val="003818DC"/>
    <w:rsid w:val="0038193D"/>
    <w:rsid w:val="00381A1D"/>
    <w:rsid w:val="00381D00"/>
    <w:rsid w:val="00381DB7"/>
    <w:rsid w:val="00381EDD"/>
    <w:rsid w:val="00382037"/>
    <w:rsid w:val="00382517"/>
    <w:rsid w:val="00382BA0"/>
    <w:rsid w:val="00382F94"/>
    <w:rsid w:val="003830DA"/>
    <w:rsid w:val="00383192"/>
    <w:rsid w:val="003831CB"/>
    <w:rsid w:val="0038359B"/>
    <w:rsid w:val="0038359F"/>
    <w:rsid w:val="0038369D"/>
    <w:rsid w:val="00383846"/>
    <w:rsid w:val="00383FB2"/>
    <w:rsid w:val="003842AD"/>
    <w:rsid w:val="00384516"/>
    <w:rsid w:val="003848F2"/>
    <w:rsid w:val="00384F96"/>
    <w:rsid w:val="00385526"/>
    <w:rsid w:val="00385679"/>
    <w:rsid w:val="0038573B"/>
    <w:rsid w:val="003859C5"/>
    <w:rsid w:val="00385A80"/>
    <w:rsid w:val="00385AA4"/>
    <w:rsid w:val="00385AE8"/>
    <w:rsid w:val="00385BEC"/>
    <w:rsid w:val="00385D05"/>
    <w:rsid w:val="00385DA3"/>
    <w:rsid w:val="0038601E"/>
    <w:rsid w:val="0038672F"/>
    <w:rsid w:val="00386E89"/>
    <w:rsid w:val="00386EF3"/>
    <w:rsid w:val="00386FE9"/>
    <w:rsid w:val="00387382"/>
    <w:rsid w:val="0038762C"/>
    <w:rsid w:val="0038768B"/>
    <w:rsid w:val="00387745"/>
    <w:rsid w:val="003878F2"/>
    <w:rsid w:val="00387E4F"/>
    <w:rsid w:val="00387EF7"/>
    <w:rsid w:val="00387F9D"/>
    <w:rsid w:val="00390069"/>
    <w:rsid w:val="00390594"/>
    <w:rsid w:val="00390AB7"/>
    <w:rsid w:val="00390B9B"/>
    <w:rsid w:val="003910C3"/>
    <w:rsid w:val="00391193"/>
    <w:rsid w:val="003913F0"/>
    <w:rsid w:val="00391460"/>
    <w:rsid w:val="00391707"/>
    <w:rsid w:val="00391A17"/>
    <w:rsid w:val="00391A90"/>
    <w:rsid w:val="00391D33"/>
    <w:rsid w:val="00392A4E"/>
    <w:rsid w:val="00392CEE"/>
    <w:rsid w:val="00392DED"/>
    <w:rsid w:val="00392EFB"/>
    <w:rsid w:val="003930DE"/>
    <w:rsid w:val="003930EA"/>
    <w:rsid w:val="003931F9"/>
    <w:rsid w:val="00393E22"/>
    <w:rsid w:val="00393F94"/>
    <w:rsid w:val="003943AD"/>
    <w:rsid w:val="00394855"/>
    <w:rsid w:val="003949D6"/>
    <w:rsid w:val="00394C8D"/>
    <w:rsid w:val="00394D88"/>
    <w:rsid w:val="00394D8B"/>
    <w:rsid w:val="00395332"/>
    <w:rsid w:val="00395447"/>
    <w:rsid w:val="0039569A"/>
    <w:rsid w:val="00395721"/>
    <w:rsid w:val="0039587D"/>
    <w:rsid w:val="003959A8"/>
    <w:rsid w:val="00395A30"/>
    <w:rsid w:val="00395D29"/>
    <w:rsid w:val="00395EE8"/>
    <w:rsid w:val="0039620E"/>
    <w:rsid w:val="0039630C"/>
    <w:rsid w:val="00396618"/>
    <w:rsid w:val="003966D6"/>
    <w:rsid w:val="003966D7"/>
    <w:rsid w:val="0039672B"/>
    <w:rsid w:val="003969D4"/>
    <w:rsid w:val="00396B77"/>
    <w:rsid w:val="00397133"/>
    <w:rsid w:val="003972E5"/>
    <w:rsid w:val="003973C6"/>
    <w:rsid w:val="00397674"/>
    <w:rsid w:val="003978B1"/>
    <w:rsid w:val="00397A25"/>
    <w:rsid w:val="00397B3D"/>
    <w:rsid w:val="00397CC1"/>
    <w:rsid w:val="00397F7D"/>
    <w:rsid w:val="003A0102"/>
    <w:rsid w:val="003A03B3"/>
    <w:rsid w:val="003A0492"/>
    <w:rsid w:val="003A073D"/>
    <w:rsid w:val="003A0753"/>
    <w:rsid w:val="003A078A"/>
    <w:rsid w:val="003A087E"/>
    <w:rsid w:val="003A09DD"/>
    <w:rsid w:val="003A0D12"/>
    <w:rsid w:val="003A0D78"/>
    <w:rsid w:val="003A0F7D"/>
    <w:rsid w:val="003A11BC"/>
    <w:rsid w:val="003A1ADE"/>
    <w:rsid w:val="003A1AE2"/>
    <w:rsid w:val="003A250B"/>
    <w:rsid w:val="003A2993"/>
    <w:rsid w:val="003A2E3B"/>
    <w:rsid w:val="003A2E4B"/>
    <w:rsid w:val="003A2F6F"/>
    <w:rsid w:val="003A31A4"/>
    <w:rsid w:val="003A32EA"/>
    <w:rsid w:val="003A346F"/>
    <w:rsid w:val="003A3688"/>
    <w:rsid w:val="003A376D"/>
    <w:rsid w:val="003A3812"/>
    <w:rsid w:val="003A3931"/>
    <w:rsid w:val="003A3AE8"/>
    <w:rsid w:val="003A3EDF"/>
    <w:rsid w:val="003A45AC"/>
    <w:rsid w:val="003A477E"/>
    <w:rsid w:val="003A47D6"/>
    <w:rsid w:val="003A48FB"/>
    <w:rsid w:val="003A4DAC"/>
    <w:rsid w:val="003A4F77"/>
    <w:rsid w:val="003A5306"/>
    <w:rsid w:val="003A5784"/>
    <w:rsid w:val="003A5803"/>
    <w:rsid w:val="003A589E"/>
    <w:rsid w:val="003A5ABD"/>
    <w:rsid w:val="003A6119"/>
    <w:rsid w:val="003A6208"/>
    <w:rsid w:val="003A62E7"/>
    <w:rsid w:val="003A6481"/>
    <w:rsid w:val="003A6638"/>
    <w:rsid w:val="003A6902"/>
    <w:rsid w:val="003A6962"/>
    <w:rsid w:val="003A6BFC"/>
    <w:rsid w:val="003A6E41"/>
    <w:rsid w:val="003A6FB8"/>
    <w:rsid w:val="003A7058"/>
    <w:rsid w:val="003A73E9"/>
    <w:rsid w:val="003A746C"/>
    <w:rsid w:val="003A7563"/>
    <w:rsid w:val="003A77A8"/>
    <w:rsid w:val="003A7C42"/>
    <w:rsid w:val="003A7E5F"/>
    <w:rsid w:val="003B0021"/>
    <w:rsid w:val="003B0488"/>
    <w:rsid w:val="003B0501"/>
    <w:rsid w:val="003B06D3"/>
    <w:rsid w:val="003B0B93"/>
    <w:rsid w:val="003B0BC3"/>
    <w:rsid w:val="003B0C9F"/>
    <w:rsid w:val="003B0CBB"/>
    <w:rsid w:val="003B0CBD"/>
    <w:rsid w:val="003B1302"/>
    <w:rsid w:val="003B1308"/>
    <w:rsid w:val="003B1463"/>
    <w:rsid w:val="003B153C"/>
    <w:rsid w:val="003B1772"/>
    <w:rsid w:val="003B1B21"/>
    <w:rsid w:val="003B1C6F"/>
    <w:rsid w:val="003B313B"/>
    <w:rsid w:val="003B3988"/>
    <w:rsid w:val="003B39F9"/>
    <w:rsid w:val="003B3AAC"/>
    <w:rsid w:val="003B3E72"/>
    <w:rsid w:val="003B425C"/>
    <w:rsid w:val="003B4267"/>
    <w:rsid w:val="003B4338"/>
    <w:rsid w:val="003B43E0"/>
    <w:rsid w:val="003B4487"/>
    <w:rsid w:val="003B44A2"/>
    <w:rsid w:val="003B44ED"/>
    <w:rsid w:val="003B4504"/>
    <w:rsid w:val="003B4900"/>
    <w:rsid w:val="003B498D"/>
    <w:rsid w:val="003B4AB6"/>
    <w:rsid w:val="003B4C1D"/>
    <w:rsid w:val="003B4C90"/>
    <w:rsid w:val="003B4CC0"/>
    <w:rsid w:val="003B4D92"/>
    <w:rsid w:val="003B4E97"/>
    <w:rsid w:val="003B4F0F"/>
    <w:rsid w:val="003B4FBF"/>
    <w:rsid w:val="003B4FCD"/>
    <w:rsid w:val="003B5208"/>
    <w:rsid w:val="003B532A"/>
    <w:rsid w:val="003B5987"/>
    <w:rsid w:val="003B5B13"/>
    <w:rsid w:val="003B5C43"/>
    <w:rsid w:val="003B5E44"/>
    <w:rsid w:val="003B5F1F"/>
    <w:rsid w:val="003B60D7"/>
    <w:rsid w:val="003B64A5"/>
    <w:rsid w:val="003B6856"/>
    <w:rsid w:val="003B6CA9"/>
    <w:rsid w:val="003B6F05"/>
    <w:rsid w:val="003B76DF"/>
    <w:rsid w:val="003B7C34"/>
    <w:rsid w:val="003B7F4F"/>
    <w:rsid w:val="003C0235"/>
    <w:rsid w:val="003C0274"/>
    <w:rsid w:val="003C03FE"/>
    <w:rsid w:val="003C0480"/>
    <w:rsid w:val="003C0510"/>
    <w:rsid w:val="003C0549"/>
    <w:rsid w:val="003C05E4"/>
    <w:rsid w:val="003C06D2"/>
    <w:rsid w:val="003C07C3"/>
    <w:rsid w:val="003C08C5"/>
    <w:rsid w:val="003C0BC7"/>
    <w:rsid w:val="003C0CEF"/>
    <w:rsid w:val="003C0DDB"/>
    <w:rsid w:val="003C0E06"/>
    <w:rsid w:val="003C120F"/>
    <w:rsid w:val="003C137C"/>
    <w:rsid w:val="003C15AC"/>
    <w:rsid w:val="003C17B6"/>
    <w:rsid w:val="003C17EA"/>
    <w:rsid w:val="003C19AB"/>
    <w:rsid w:val="003C1A49"/>
    <w:rsid w:val="003C1B8A"/>
    <w:rsid w:val="003C223F"/>
    <w:rsid w:val="003C230D"/>
    <w:rsid w:val="003C23A7"/>
    <w:rsid w:val="003C242A"/>
    <w:rsid w:val="003C2705"/>
    <w:rsid w:val="003C2ACA"/>
    <w:rsid w:val="003C2C05"/>
    <w:rsid w:val="003C2D0C"/>
    <w:rsid w:val="003C3121"/>
    <w:rsid w:val="003C31A9"/>
    <w:rsid w:val="003C32DA"/>
    <w:rsid w:val="003C38C9"/>
    <w:rsid w:val="003C3B82"/>
    <w:rsid w:val="003C3F91"/>
    <w:rsid w:val="003C4316"/>
    <w:rsid w:val="003C4A15"/>
    <w:rsid w:val="003C4B08"/>
    <w:rsid w:val="003C4B51"/>
    <w:rsid w:val="003C4C47"/>
    <w:rsid w:val="003C4C5E"/>
    <w:rsid w:val="003C4CF9"/>
    <w:rsid w:val="003C4E67"/>
    <w:rsid w:val="003C4F3C"/>
    <w:rsid w:val="003C4F6B"/>
    <w:rsid w:val="003C5178"/>
    <w:rsid w:val="003C51AF"/>
    <w:rsid w:val="003C557A"/>
    <w:rsid w:val="003C5624"/>
    <w:rsid w:val="003C58AF"/>
    <w:rsid w:val="003C59EC"/>
    <w:rsid w:val="003C5BCC"/>
    <w:rsid w:val="003C5DE1"/>
    <w:rsid w:val="003C61F7"/>
    <w:rsid w:val="003C651E"/>
    <w:rsid w:val="003C6582"/>
    <w:rsid w:val="003C66A0"/>
    <w:rsid w:val="003C685F"/>
    <w:rsid w:val="003C6A5F"/>
    <w:rsid w:val="003C6B77"/>
    <w:rsid w:val="003C6EE3"/>
    <w:rsid w:val="003C704B"/>
    <w:rsid w:val="003C7110"/>
    <w:rsid w:val="003C754F"/>
    <w:rsid w:val="003C77E4"/>
    <w:rsid w:val="003D004A"/>
    <w:rsid w:val="003D041C"/>
    <w:rsid w:val="003D0ABB"/>
    <w:rsid w:val="003D0D40"/>
    <w:rsid w:val="003D1178"/>
    <w:rsid w:val="003D1238"/>
    <w:rsid w:val="003D147B"/>
    <w:rsid w:val="003D1BA0"/>
    <w:rsid w:val="003D1D19"/>
    <w:rsid w:val="003D2558"/>
    <w:rsid w:val="003D27DE"/>
    <w:rsid w:val="003D2ACC"/>
    <w:rsid w:val="003D2CDB"/>
    <w:rsid w:val="003D3404"/>
    <w:rsid w:val="003D34CE"/>
    <w:rsid w:val="003D3506"/>
    <w:rsid w:val="003D375C"/>
    <w:rsid w:val="003D37DA"/>
    <w:rsid w:val="003D3918"/>
    <w:rsid w:val="003D3992"/>
    <w:rsid w:val="003D3D24"/>
    <w:rsid w:val="003D4270"/>
    <w:rsid w:val="003D4A5D"/>
    <w:rsid w:val="003D4C90"/>
    <w:rsid w:val="003D4F7F"/>
    <w:rsid w:val="003D4F9D"/>
    <w:rsid w:val="003D5068"/>
    <w:rsid w:val="003D5333"/>
    <w:rsid w:val="003D539D"/>
    <w:rsid w:val="003D53AE"/>
    <w:rsid w:val="003D54E0"/>
    <w:rsid w:val="003D5A13"/>
    <w:rsid w:val="003D5D3E"/>
    <w:rsid w:val="003D6045"/>
    <w:rsid w:val="003D604C"/>
    <w:rsid w:val="003D65F3"/>
    <w:rsid w:val="003D665C"/>
    <w:rsid w:val="003D667B"/>
    <w:rsid w:val="003D719E"/>
    <w:rsid w:val="003D71A7"/>
    <w:rsid w:val="003D74E4"/>
    <w:rsid w:val="003D7866"/>
    <w:rsid w:val="003D7B16"/>
    <w:rsid w:val="003D7B57"/>
    <w:rsid w:val="003D7D1A"/>
    <w:rsid w:val="003D7E92"/>
    <w:rsid w:val="003D7F2F"/>
    <w:rsid w:val="003E035E"/>
    <w:rsid w:val="003E056D"/>
    <w:rsid w:val="003E0897"/>
    <w:rsid w:val="003E0A2D"/>
    <w:rsid w:val="003E0AC0"/>
    <w:rsid w:val="003E0AE9"/>
    <w:rsid w:val="003E0C9E"/>
    <w:rsid w:val="003E0D1C"/>
    <w:rsid w:val="003E10FA"/>
    <w:rsid w:val="003E115F"/>
    <w:rsid w:val="003E13FC"/>
    <w:rsid w:val="003E175B"/>
    <w:rsid w:val="003E17A6"/>
    <w:rsid w:val="003E195E"/>
    <w:rsid w:val="003E1CCE"/>
    <w:rsid w:val="003E24C5"/>
    <w:rsid w:val="003E280C"/>
    <w:rsid w:val="003E2AB9"/>
    <w:rsid w:val="003E31EA"/>
    <w:rsid w:val="003E356A"/>
    <w:rsid w:val="003E364C"/>
    <w:rsid w:val="003E369B"/>
    <w:rsid w:val="003E3795"/>
    <w:rsid w:val="003E4034"/>
    <w:rsid w:val="003E413A"/>
    <w:rsid w:val="003E41BD"/>
    <w:rsid w:val="003E4285"/>
    <w:rsid w:val="003E4372"/>
    <w:rsid w:val="003E45EF"/>
    <w:rsid w:val="003E4727"/>
    <w:rsid w:val="003E47B7"/>
    <w:rsid w:val="003E4872"/>
    <w:rsid w:val="003E4C56"/>
    <w:rsid w:val="003E4FD8"/>
    <w:rsid w:val="003E5192"/>
    <w:rsid w:val="003E52E2"/>
    <w:rsid w:val="003E54CE"/>
    <w:rsid w:val="003E552C"/>
    <w:rsid w:val="003E563C"/>
    <w:rsid w:val="003E5650"/>
    <w:rsid w:val="003E5949"/>
    <w:rsid w:val="003E5971"/>
    <w:rsid w:val="003E5C20"/>
    <w:rsid w:val="003E5C37"/>
    <w:rsid w:val="003E5C87"/>
    <w:rsid w:val="003E5CA5"/>
    <w:rsid w:val="003E5D3F"/>
    <w:rsid w:val="003E5DA0"/>
    <w:rsid w:val="003E5F67"/>
    <w:rsid w:val="003E6529"/>
    <w:rsid w:val="003E665E"/>
    <w:rsid w:val="003E6779"/>
    <w:rsid w:val="003E6920"/>
    <w:rsid w:val="003E69C9"/>
    <w:rsid w:val="003E69D7"/>
    <w:rsid w:val="003E6C4B"/>
    <w:rsid w:val="003E6EDC"/>
    <w:rsid w:val="003E6F36"/>
    <w:rsid w:val="003E70F8"/>
    <w:rsid w:val="003E7480"/>
    <w:rsid w:val="003E780C"/>
    <w:rsid w:val="003E79B9"/>
    <w:rsid w:val="003E7C0D"/>
    <w:rsid w:val="003E7E77"/>
    <w:rsid w:val="003F03AA"/>
    <w:rsid w:val="003F03E6"/>
    <w:rsid w:val="003F052A"/>
    <w:rsid w:val="003F0718"/>
    <w:rsid w:val="003F07A3"/>
    <w:rsid w:val="003F08EA"/>
    <w:rsid w:val="003F0BF7"/>
    <w:rsid w:val="003F0C5E"/>
    <w:rsid w:val="003F0C73"/>
    <w:rsid w:val="003F0D16"/>
    <w:rsid w:val="003F119C"/>
    <w:rsid w:val="003F1512"/>
    <w:rsid w:val="003F15E4"/>
    <w:rsid w:val="003F1A58"/>
    <w:rsid w:val="003F1A9C"/>
    <w:rsid w:val="003F1B7B"/>
    <w:rsid w:val="003F1BBC"/>
    <w:rsid w:val="003F234D"/>
    <w:rsid w:val="003F2362"/>
    <w:rsid w:val="003F23F0"/>
    <w:rsid w:val="003F252A"/>
    <w:rsid w:val="003F2B35"/>
    <w:rsid w:val="003F2B4C"/>
    <w:rsid w:val="003F2D0C"/>
    <w:rsid w:val="003F2DF1"/>
    <w:rsid w:val="003F33B5"/>
    <w:rsid w:val="003F3903"/>
    <w:rsid w:val="003F3D18"/>
    <w:rsid w:val="003F3D4E"/>
    <w:rsid w:val="003F3D79"/>
    <w:rsid w:val="003F3E9B"/>
    <w:rsid w:val="003F40DC"/>
    <w:rsid w:val="003F40DE"/>
    <w:rsid w:val="003F44AD"/>
    <w:rsid w:val="003F46DF"/>
    <w:rsid w:val="003F4E66"/>
    <w:rsid w:val="003F4F1E"/>
    <w:rsid w:val="003F523D"/>
    <w:rsid w:val="003F5292"/>
    <w:rsid w:val="003F5331"/>
    <w:rsid w:val="003F55BE"/>
    <w:rsid w:val="003F5743"/>
    <w:rsid w:val="003F5999"/>
    <w:rsid w:val="003F5A75"/>
    <w:rsid w:val="003F5F99"/>
    <w:rsid w:val="003F6446"/>
    <w:rsid w:val="003F64E9"/>
    <w:rsid w:val="003F6B67"/>
    <w:rsid w:val="003F6D62"/>
    <w:rsid w:val="003F6DB5"/>
    <w:rsid w:val="003F6DEC"/>
    <w:rsid w:val="003F6FCF"/>
    <w:rsid w:val="003F704D"/>
    <w:rsid w:val="003F70BA"/>
    <w:rsid w:val="003F7903"/>
    <w:rsid w:val="003F7966"/>
    <w:rsid w:val="003F7C15"/>
    <w:rsid w:val="003F7E1F"/>
    <w:rsid w:val="0040018F"/>
    <w:rsid w:val="00400259"/>
    <w:rsid w:val="004002D1"/>
    <w:rsid w:val="00400437"/>
    <w:rsid w:val="004006DC"/>
    <w:rsid w:val="004006F8"/>
    <w:rsid w:val="00400B7D"/>
    <w:rsid w:val="00400BF7"/>
    <w:rsid w:val="004010A3"/>
    <w:rsid w:val="00401101"/>
    <w:rsid w:val="0040119D"/>
    <w:rsid w:val="0040125F"/>
    <w:rsid w:val="0040131E"/>
    <w:rsid w:val="00401349"/>
    <w:rsid w:val="00401564"/>
    <w:rsid w:val="00401757"/>
    <w:rsid w:val="004019FF"/>
    <w:rsid w:val="00401A68"/>
    <w:rsid w:val="00401C25"/>
    <w:rsid w:val="00401E38"/>
    <w:rsid w:val="00401F88"/>
    <w:rsid w:val="004020DF"/>
    <w:rsid w:val="00402142"/>
    <w:rsid w:val="004021EC"/>
    <w:rsid w:val="0040223C"/>
    <w:rsid w:val="00402326"/>
    <w:rsid w:val="00402388"/>
    <w:rsid w:val="0040244D"/>
    <w:rsid w:val="00402450"/>
    <w:rsid w:val="0040257E"/>
    <w:rsid w:val="004027E1"/>
    <w:rsid w:val="00402941"/>
    <w:rsid w:val="00402DAA"/>
    <w:rsid w:val="00402F08"/>
    <w:rsid w:val="00402F40"/>
    <w:rsid w:val="00403434"/>
    <w:rsid w:val="0040347E"/>
    <w:rsid w:val="0040377C"/>
    <w:rsid w:val="00403B33"/>
    <w:rsid w:val="00403BC3"/>
    <w:rsid w:val="00403C90"/>
    <w:rsid w:val="00403D9D"/>
    <w:rsid w:val="00404411"/>
    <w:rsid w:val="00404526"/>
    <w:rsid w:val="0040459D"/>
    <w:rsid w:val="004048E5"/>
    <w:rsid w:val="00404B0F"/>
    <w:rsid w:val="00404B93"/>
    <w:rsid w:val="00405034"/>
    <w:rsid w:val="00405082"/>
    <w:rsid w:val="0040519D"/>
    <w:rsid w:val="00405268"/>
    <w:rsid w:val="0040530E"/>
    <w:rsid w:val="00405351"/>
    <w:rsid w:val="0040593F"/>
    <w:rsid w:val="00405983"/>
    <w:rsid w:val="00405D00"/>
    <w:rsid w:val="00405E12"/>
    <w:rsid w:val="00405F08"/>
    <w:rsid w:val="00406263"/>
    <w:rsid w:val="0040635B"/>
    <w:rsid w:val="00406521"/>
    <w:rsid w:val="004076B1"/>
    <w:rsid w:val="004078C5"/>
    <w:rsid w:val="004079DD"/>
    <w:rsid w:val="00407CF2"/>
    <w:rsid w:val="004101E7"/>
    <w:rsid w:val="0041022C"/>
    <w:rsid w:val="00410707"/>
    <w:rsid w:val="0041070D"/>
    <w:rsid w:val="00410A0C"/>
    <w:rsid w:val="00410AAF"/>
    <w:rsid w:val="00410B86"/>
    <w:rsid w:val="00410BA2"/>
    <w:rsid w:val="00410BD9"/>
    <w:rsid w:val="00410C9F"/>
    <w:rsid w:val="00410DDB"/>
    <w:rsid w:val="00411377"/>
    <w:rsid w:val="004119A7"/>
    <w:rsid w:val="004119FC"/>
    <w:rsid w:val="00411D5C"/>
    <w:rsid w:val="004126E4"/>
    <w:rsid w:val="00412FBA"/>
    <w:rsid w:val="00413281"/>
    <w:rsid w:val="004135D3"/>
    <w:rsid w:val="0041374C"/>
    <w:rsid w:val="00413C3F"/>
    <w:rsid w:val="00413E9B"/>
    <w:rsid w:val="00414084"/>
    <w:rsid w:val="0041421A"/>
    <w:rsid w:val="0041433A"/>
    <w:rsid w:val="00414587"/>
    <w:rsid w:val="00414C78"/>
    <w:rsid w:val="00414CD7"/>
    <w:rsid w:val="00414E6E"/>
    <w:rsid w:val="00414F21"/>
    <w:rsid w:val="00414F26"/>
    <w:rsid w:val="00415032"/>
    <w:rsid w:val="004151AB"/>
    <w:rsid w:val="0041523F"/>
    <w:rsid w:val="0041529E"/>
    <w:rsid w:val="004156FA"/>
    <w:rsid w:val="004158A1"/>
    <w:rsid w:val="00415AC0"/>
    <w:rsid w:val="00415ACD"/>
    <w:rsid w:val="00415D70"/>
    <w:rsid w:val="00415D99"/>
    <w:rsid w:val="00415D9C"/>
    <w:rsid w:val="00415E31"/>
    <w:rsid w:val="00415F76"/>
    <w:rsid w:val="00416048"/>
    <w:rsid w:val="00416588"/>
    <w:rsid w:val="004166A8"/>
    <w:rsid w:val="00416BF3"/>
    <w:rsid w:val="00416F42"/>
    <w:rsid w:val="004171B5"/>
    <w:rsid w:val="004176C9"/>
    <w:rsid w:val="004177EC"/>
    <w:rsid w:val="00417CA5"/>
    <w:rsid w:val="00417DEA"/>
    <w:rsid w:val="004200C0"/>
    <w:rsid w:val="00420281"/>
    <w:rsid w:val="00420292"/>
    <w:rsid w:val="00420A0E"/>
    <w:rsid w:val="00421400"/>
    <w:rsid w:val="00421612"/>
    <w:rsid w:val="004217A9"/>
    <w:rsid w:val="00421A81"/>
    <w:rsid w:val="00421AD3"/>
    <w:rsid w:val="0042200B"/>
    <w:rsid w:val="0042203E"/>
    <w:rsid w:val="00422057"/>
    <w:rsid w:val="0042261E"/>
    <w:rsid w:val="0042292C"/>
    <w:rsid w:val="00422A23"/>
    <w:rsid w:val="00422E51"/>
    <w:rsid w:val="00422FC6"/>
    <w:rsid w:val="0042318D"/>
    <w:rsid w:val="0042331A"/>
    <w:rsid w:val="00423343"/>
    <w:rsid w:val="00423728"/>
    <w:rsid w:val="00423B33"/>
    <w:rsid w:val="00423F51"/>
    <w:rsid w:val="00423F64"/>
    <w:rsid w:val="0042404A"/>
    <w:rsid w:val="00424215"/>
    <w:rsid w:val="004242EF"/>
    <w:rsid w:val="0042438F"/>
    <w:rsid w:val="0042455B"/>
    <w:rsid w:val="004245BE"/>
    <w:rsid w:val="00424654"/>
    <w:rsid w:val="004249F0"/>
    <w:rsid w:val="00424AFF"/>
    <w:rsid w:val="00424C8F"/>
    <w:rsid w:val="00424E6B"/>
    <w:rsid w:val="00424F2A"/>
    <w:rsid w:val="0042514E"/>
    <w:rsid w:val="00425212"/>
    <w:rsid w:val="0042525B"/>
    <w:rsid w:val="00425464"/>
    <w:rsid w:val="00425835"/>
    <w:rsid w:val="00425C36"/>
    <w:rsid w:val="00425C79"/>
    <w:rsid w:val="00425CC1"/>
    <w:rsid w:val="00425EFD"/>
    <w:rsid w:val="0042661F"/>
    <w:rsid w:val="00426B2E"/>
    <w:rsid w:val="00426FF0"/>
    <w:rsid w:val="004271DA"/>
    <w:rsid w:val="004273FB"/>
    <w:rsid w:val="0042798A"/>
    <w:rsid w:val="0043018B"/>
    <w:rsid w:val="004303AA"/>
    <w:rsid w:val="00430623"/>
    <w:rsid w:val="004308C7"/>
    <w:rsid w:val="00430909"/>
    <w:rsid w:val="00430DAF"/>
    <w:rsid w:val="00431350"/>
    <w:rsid w:val="0043146E"/>
    <w:rsid w:val="00431542"/>
    <w:rsid w:val="00431A3F"/>
    <w:rsid w:val="00431B63"/>
    <w:rsid w:val="00431BCB"/>
    <w:rsid w:val="00431C88"/>
    <w:rsid w:val="00431E44"/>
    <w:rsid w:val="0043204F"/>
    <w:rsid w:val="0043219A"/>
    <w:rsid w:val="00432208"/>
    <w:rsid w:val="0043262E"/>
    <w:rsid w:val="00432E30"/>
    <w:rsid w:val="00432E89"/>
    <w:rsid w:val="004331E6"/>
    <w:rsid w:val="004332D3"/>
    <w:rsid w:val="0043335C"/>
    <w:rsid w:val="0043380D"/>
    <w:rsid w:val="0043387E"/>
    <w:rsid w:val="00433D40"/>
    <w:rsid w:val="00433E1E"/>
    <w:rsid w:val="00433E46"/>
    <w:rsid w:val="00433EE5"/>
    <w:rsid w:val="00433F6F"/>
    <w:rsid w:val="004342AD"/>
    <w:rsid w:val="004345E8"/>
    <w:rsid w:val="0043464A"/>
    <w:rsid w:val="00434653"/>
    <w:rsid w:val="00434783"/>
    <w:rsid w:val="00434934"/>
    <w:rsid w:val="00434954"/>
    <w:rsid w:val="0043534B"/>
    <w:rsid w:val="0043545B"/>
    <w:rsid w:val="004354F2"/>
    <w:rsid w:val="00435564"/>
    <w:rsid w:val="00435620"/>
    <w:rsid w:val="00435A97"/>
    <w:rsid w:val="00436125"/>
    <w:rsid w:val="00436226"/>
    <w:rsid w:val="0043639F"/>
    <w:rsid w:val="00436730"/>
    <w:rsid w:val="0043676F"/>
    <w:rsid w:val="004367E3"/>
    <w:rsid w:val="00436988"/>
    <w:rsid w:val="004369DF"/>
    <w:rsid w:val="004369FE"/>
    <w:rsid w:val="00436B5D"/>
    <w:rsid w:val="00436D28"/>
    <w:rsid w:val="0043705A"/>
    <w:rsid w:val="0043716B"/>
    <w:rsid w:val="00437990"/>
    <w:rsid w:val="004379AD"/>
    <w:rsid w:val="00437E25"/>
    <w:rsid w:val="00437E8E"/>
    <w:rsid w:val="0044065E"/>
    <w:rsid w:val="0044067D"/>
    <w:rsid w:val="00441233"/>
    <w:rsid w:val="0044164D"/>
    <w:rsid w:val="004416FB"/>
    <w:rsid w:val="004419F5"/>
    <w:rsid w:val="00441A02"/>
    <w:rsid w:val="00441CE7"/>
    <w:rsid w:val="00441FD7"/>
    <w:rsid w:val="0044214C"/>
    <w:rsid w:val="0044228C"/>
    <w:rsid w:val="0044235E"/>
    <w:rsid w:val="00442737"/>
    <w:rsid w:val="0044284D"/>
    <w:rsid w:val="00442867"/>
    <w:rsid w:val="00442968"/>
    <w:rsid w:val="00442BAB"/>
    <w:rsid w:val="00443031"/>
    <w:rsid w:val="004433D0"/>
    <w:rsid w:val="00443420"/>
    <w:rsid w:val="0044388B"/>
    <w:rsid w:val="00443B6F"/>
    <w:rsid w:val="00443C81"/>
    <w:rsid w:val="004444ED"/>
    <w:rsid w:val="0044463E"/>
    <w:rsid w:val="004446D5"/>
    <w:rsid w:val="00444CE8"/>
    <w:rsid w:val="00444CFC"/>
    <w:rsid w:val="00444E30"/>
    <w:rsid w:val="00444E6D"/>
    <w:rsid w:val="0044511E"/>
    <w:rsid w:val="004451AD"/>
    <w:rsid w:val="00445435"/>
    <w:rsid w:val="0044567A"/>
    <w:rsid w:val="004457C2"/>
    <w:rsid w:val="0044580C"/>
    <w:rsid w:val="00445947"/>
    <w:rsid w:val="00445C9A"/>
    <w:rsid w:val="00445E58"/>
    <w:rsid w:val="004463C0"/>
    <w:rsid w:val="004466E8"/>
    <w:rsid w:val="004469CE"/>
    <w:rsid w:val="004469EF"/>
    <w:rsid w:val="00446DA4"/>
    <w:rsid w:val="00446E89"/>
    <w:rsid w:val="0044706B"/>
    <w:rsid w:val="0044741B"/>
    <w:rsid w:val="00447510"/>
    <w:rsid w:val="004476EF"/>
    <w:rsid w:val="00447777"/>
    <w:rsid w:val="0044778D"/>
    <w:rsid w:val="00447953"/>
    <w:rsid w:val="00447A33"/>
    <w:rsid w:val="00447CAC"/>
    <w:rsid w:val="004500FA"/>
    <w:rsid w:val="004503CF"/>
    <w:rsid w:val="0045050E"/>
    <w:rsid w:val="004505F0"/>
    <w:rsid w:val="004507B9"/>
    <w:rsid w:val="0045090C"/>
    <w:rsid w:val="00450B2C"/>
    <w:rsid w:val="00450D49"/>
    <w:rsid w:val="00451C6C"/>
    <w:rsid w:val="00451E7B"/>
    <w:rsid w:val="00451F05"/>
    <w:rsid w:val="00452148"/>
    <w:rsid w:val="00452547"/>
    <w:rsid w:val="00452942"/>
    <w:rsid w:val="00452B98"/>
    <w:rsid w:val="00452D94"/>
    <w:rsid w:val="00452FA9"/>
    <w:rsid w:val="00453859"/>
    <w:rsid w:val="00453887"/>
    <w:rsid w:val="004538C8"/>
    <w:rsid w:val="004538E1"/>
    <w:rsid w:val="00453D09"/>
    <w:rsid w:val="00453FF9"/>
    <w:rsid w:val="00454370"/>
    <w:rsid w:val="0045445C"/>
    <w:rsid w:val="00454763"/>
    <w:rsid w:val="00454A21"/>
    <w:rsid w:val="00454DA1"/>
    <w:rsid w:val="0045509B"/>
    <w:rsid w:val="004552CF"/>
    <w:rsid w:val="0045554C"/>
    <w:rsid w:val="004559F8"/>
    <w:rsid w:val="00455C4A"/>
    <w:rsid w:val="00455C87"/>
    <w:rsid w:val="004562A3"/>
    <w:rsid w:val="00456492"/>
    <w:rsid w:val="004568CD"/>
    <w:rsid w:val="00456A98"/>
    <w:rsid w:val="00456B68"/>
    <w:rsid w:val="00457119"/>
    <w:rsid w:val="0045713E"/>
    <w:rsid w:val="004571B5"/>
    <w:rsid w:val="00457487"/>
    <w:rsid w:val="00457695"/>
    <w:rsid w:val="00457A42"/>
    <w:rsid w:val="00457A9B"/>
    <w:rsid w:val="00457C9E"/>
    <w:rsid w:val="00457DB9"/>
    <w:rsid w:val="00460258"/>
    <w:rsid w:val="00460546"/>
    <w:rsid w:val="00460785"/>
    <w:rsid w:val="00460846"/>
    <w:rsid w:val="00460CDD"/>
    <w:rsid w:val="00460FCC"/>
    <w:rsid w:val="0046106B"/>
    <w:rsid w:val="00461398"/>
    <w:rsid w:val="004613E7"/>
    <w:rsid w:val="004615EC"/>
    <w:rsid w:val="00461628"/>
    <w:rsid w:val="00461713"/>
    <w:rsid w:val="004618DD"/>
    <w:rsid w:val="00462430"/>
    <w:rsid w:val="00462533"/>
    <w:rsid w:val="00462550"/>
    <w:rsid w:val="004626F5"/>
    <w:rsid w:val="00462AB9"/>
    <w:rsid w:val="00462C37"/>
    <w:rsid w:val="00462C89"/>
    <w:rsid w:val="00462DCA"/>
    <w:rsid w:val="00462E31"/>
    <w:rsid w:val="00462F0A"/>
    <w:rsid w:val="00462FB0"/>
    <w:rsid w:val="00462FE6"/>
    <w:rsid w:val="004634D4"/>
    <w:rsid w:val="00463522"/>
    <w:rsid w:val="004637DB"/>
    <w:rsid w:val="0046388D"/>
    <w:rsid w:val="00463B5A"/>
    <w:rsid w:val="0046408F"/>
    <w:rsid w:val="0046413F"/>
    <w:rsid w:val="00464739"/>
    <w:rsid w:val="00464860"/>
    <w:rsid w:val="00464941"/>
    <w:rsid w:val="004649C6"/>
    <w:rsid w:val="00464A5F"/>
    <w:rsid w:val="00464E7A"/>
    <w:rsid w:val="00464F04"/>
    <w:rsid w:val="0046534F"/>
    <w:rsid w:val="004657A9"/>
    <w:rsid w:val="0046580A"/>
    <w:rsid w:val="00465B93"/>
    <w:rsid w:val="00465E62"/>
    <w:rsid w:val="0046621E"/>
    <w:rsid w:val="004662F3"/>
    <w:rsid w:val="004665EB"/>
    <w:rsid w:val="00466766"/>
    <w:rsid w:val="00466812"/>
    <w:rsid w:val="00466EFF"/>
    <w:rsid w:val="00467821"/>
    <w:rsid w:val="00467AB1"/>
    <w:rsid w:val="00467CC2"/>
    <w:rsid w:val="00467D9D"/>
    <w:rsid w:val="00467EE8"/>
    <w:rsid w:val="00467F4F"/>
    <w:rsid w:val="0047000A"/>
    <w:rsid w:val="00470074"/>
    <w:rsid w:val="0047014B"/>
    <w:rsid w:val="00470282"/>
    <w:rsid w:val="004705EA"/>
    <w:rsid w:val="00470977"/>
    <w:rsid w:val="004709A9"/>
    <w:rsid w:val="004709F2"/>
    <w:rsid w:val="00470C10"/>
    <w:rsid w:val="00470DCD"/>
    <w:rsid w:val="00470FC3"/>
    <w:rsid w:val="004710EF"/>
    <w:rsid w:val="004712BF"/>
    <w:rsid w:val="00471565"/>
    <w:rsid w:val="00471586"/>
    <w:rsid w:val="00471729"/>
    <w:rsid w:val="00471810"/>
    <w:rsid w:val="00471AAA"/>
    <w:rsid w:val="00471B24"/>
    <w:rsid w:val="00471B8E"/>
    <w:rsid w:val="00471ECE"/>
    <w:rsid w:val="00472027"/>
    <w:rsid w:val="004722FC"/>
    <w:rsid w:val="00472590"/>
    <w:rsid w:val="00472633"/>
    <w:rsid w:val="00472A8E"/>
    <w:rsid w:val="00472E1F"/>
    <w:rsid w:val="0047317D"/>
    <w:rsid w:val="00473374"/>
    <w:rsid w:val="0047354B"/>
    <w:rsid w:val="0047371B"/>
    <w:rsid w:val="00473E3A"/>
    <w:rsid w:val="00474128"/>
    <w:rsid w:val="0047450F"/>
    <w:rsid w:val="0047456A"/>
    <w:rsid w:val="004749BE"/>
    <w:rsid w:val="00474B8D"/>
    <w:rsid w:val="00474DA0"/>
    <w:rsid w:val="00474FFE"/>
    <w:rsid w:val="00475193"/>
    <w:rsid w:val="00475365"/>
    <w:rsid w:val="00475AC9"/>
    <w:rsid w:val="0047612A"/>
    <w:rsid w:val="00476158"/>
    <w:rsid w:val="004761F5"/>
    <w:rsid w:val="004762C3"/>
    <w:rsid w:val="00476414"/>
    <w:rsid w:val="00476477"/>
    <w:rsid w:val="004765BE"/>
    <w:rsid w:val="004769C5"/>
    <w:rsid w:val="00476A4F"/>
    <w:rsid w:val="00476ACC"/>
    <w:rsid w:val="00476AD0"/>
    <w:rsid w:val="00476BEE"/>
    <w:rsid w:val="00476E4F"/>
    <w:rsid w:val="00476F71"/>
    <w:rsid w:val="004771E9"/>
    <w:rsid w:val="00477328"/>
    <w:rsid w:val="004778F3"/>
    <w:rsid w:val="0047794A"/>
    <w:rsid w:val="0047796D"/>
    <w:rsid w:val="00477BB4"/>
    <w:rsid w:val="00480287"/>
    <w:rsid w:val="00480CCD"/>
    <w:rsid w:val="00480E5D"/>
    <w:rsid w:val="004816D0"/>
    <w:rsid w:val="00481761"/>
    <w:rsid w:val="004817F9"/>
    <w:rsid w:val="00481874"/>
    <w:rsid w:val="00481CB9"/>
    <w:rsid w:val="00481D5E"/>
    <w:rsid w:val="00481E49"/>
    <w:rsid w:val="00482129"/>
    <w:rsid w:val="004823C5"/>
    <w:rsid w:val="004824E7"/>
    <w:rsid w:val="0048259D"/>
    <w:rsid w:val="004830EC"/>
    <w:rsid w:val="004831B7"/>
    <w:rsid w:val="004832B5"/>
    <w:rsid w:val="0048354D"/>
    <w:rsid w:val="00483732"/>
    <w:rsid w:val="004837F0"/>
    <w:rsid w:val="00483908"/>
    <w:rsid w:val="00483A63"/>
    <w:rsid w:val="00483A9A"/>
    <w:rsid w:val="00483F19"/>
    <w:rsid w:val="00483FE4"/>
    <w:rsid w:val="00484141"/>
    <w:rsid w:val="00484BC8"/>
    <w:rsid w:val="00484C07"/>
    <w:rsid w:val="00484EAA"/>
    <w:rsid w:val="00484F6F"/>
    <w:rsid w:val="00485DAD"/>
    <w:rsid w:val="00485DB4"/>
    <w:rsid w:val="0048629E"/>
    <w:rsid w:val="0048643E"/>
    <w:rsid w:val="00486CD5"/>
    <w:rsid w:val="00486D30"/>
    <w:rsid w:val="00486F88"/>
    <w:rsid w:val="004871FF"/>
    <w:rsid w:val="004873B4"/>
    <w:rsid w:val="004875E6"/>
    <w:rsid w:val="004877A2"/>
    <w:rsid w:val="0048796A"/>
    <w:rsid w:val="00487EBC"/>
    <w:rsid w:val="00487ED9"/>
    <w:rsid w:val="00490A47"/>
    <w:rsid w:val="00490CCA"/>
    <w:rsid w:val="00490E37"/>
    <w:rsid w:val="0049118B"/>
    <w:rsid w:val="004913B9"/>
    <w:rsid w:val="0049148C"/>
    <w:rsid w:val="00491AB4"/>
    <w:rsid w:val="00491B46"/>
    <w:rsid w:val="00491F41"/>
    <w:rsid w:val="00492045"/>
    <w:rsid w:val="0049214D"/>
    <w:rsid w:val="004921DC"/>
    <w:rsid w:val="00492559"/>
    <w:rsid w:val="004925C1"/>
    <w:rsid w:val="00492795"/>
    <w:rsid w:val="00492C58"/>
    <w:rsid w:val="00492CB5"/>
    <w:rsid w:val="00492F96"/>
    <w:rsid w:val="00493538"/>
    <w:rsid w:val="00493909"/>
    <w:rsid w:val="00493BF9"/>
    <w:rsid w:val="00493C62"/>
    <w:rsid w:val="00493E21"/>
    <w:rsid w:val="00493E35"/>
    <w:rsid w:val="0049410D"/>
    <w:rsid w:val="004944A4"/>
    <w:rsid w:val="00494956"/>
    <w:rsid w:val="00494EDF"/>
    <w:rsid w:val="00495620"/>
    <w:rsid w:val="0049568E"/>
    <w:rsid w:val="004959E0"/>
    <w:rsid w:val="00495C62"/>
    <w:rsid w:val="00495F63"/>
    <w:rsid w:val="004960D1"/>
    <w:rsid w:val="00496145"/>
    <w:rsid w:val="00496180"/>
    <w:rsid w:val="0049630E"/>
    <w:rsid w:val="0049644D"/>
    <w:rsid w:val="00496670"/>
    <w:rsid w:val="0049727C"/>
    <w:rsid w:val="00497296"/>
    <w:rsid w:val="004974F2"/>
    <w:rsid w:val="004976D4"/>
    <w:rsid w:val="004977EF"/>
    <w:rsid w:val="00497911"/>
    <w:rsid w:val="00497AFE"/>
    <w:rsid w:val="00497D46"/>
    <w:rsid w:val="004A01F4"/>
    <w:rsid w:val="004A02D1"/>
    <w:rsid w:val="004A0490"/>
    <w:rsid w:val="004A0498"/>
    <w:rsid w:val="004A057F"/>
    <w:rsid w:val="004A070C"/>
    <w:rsid w:val="004A07EE"/>
    <w:rsid w:val="004A0ADF"/>
    <w:rsid w:val="004A0C43"/>
    <w:rsid w:val="004A0D2E"/>
    <w:rsid w:val="004A0E1B"/>
    <w:rsid w:val="004A10D5"/>
    <w:rsid w:val="004A150A"/>
    <w:rsid w:val="004A1688"/>
    <w:rsid w:val="004A1CD7"/>
    <w:rsid w:val="004A1D1D"/>
    <w:rsid w:val="004A1E91"/>
    <w:rsid w:val="004A203A"/>
    <w:rsid w:val="004A235E"/>
    <w:rsid w:val="004A2911"/>
    <w:rsid w:val="004A2DC3"/>
    <w:rsid w:val="004A303D"/>
    <w:rsid w:val="004A30B5"/>
    <w:rsid w:val="004A313B"/>
    <w:rsid w:val="004A3378"/>
    <w:rsid w:val="004A396B"/>
    <w:rsid w:val="004A39A3"/>
    <w:rsid w:val="004A3B32"/>
    <w:rsid w:val="004A3C32"/>
    <w:rsid w:val="004A3E9E"/>
    <w:rsid w:val="004A3EE4"/>
    <w:rsid w:val="004A3FCF"/>
    <w:rsid w:val="004A4444"/>
    <w:rsid w:val="004A475B"/>
    <w:rsid w:val="004A4879"/>
    <w:rsid w:val="004A48A1"/>
    <w:rsid w:val="004A4C6B"/>
    <w:rsid w:val="004A4D25"/>
    <w:rsid w:val="004A4F9D"/>
    <w:rsid w:val="004A5118"/>
    <w:rsid w:val="004A513D"/>
    <w:rsid w:val="004A5663"/>
    <w:rsid w:val="004A5706"/>
    <w:rsid w:val="004A5AC6"/>
    <w:rsid w:val="004A5ADB"/>
    <w:rsid w:val="004A5BAE"/>
    <w:rsid w:val="004A5F24"/>
    <w:rsid w:val="004A626D"/>
    <w:rsid w:val="004A67C9"/>
    <w:rsid w:val="004A6A84"/>
    <w:rsid w:val="004A6DB5"/>
    <w:rsid w:val="004A70E6"/>
    <w:rsid w:val="004A7114"/>
    <w:rsid w:val="004A71FA"/>
    <w:rsid w:val="004A74E9"/>
    <w:rsid w:val="004A7653"/>
    <w:rsid w:val="004A7662"/>
    <w:rsid w:val="004A786C"/>
    <w:rsid w:val="004A7A5C"/>
    <w:rsid w:val="004A7AD9"/>
    <w:rsid w:val="004A7BDA"/>
    <w:rsid w:val="004B008F"/>
    <w:rsid w:val="004B0248"/>
    <w:rsid w:val="004B0401"/>
    <w:rsid w:val="004B04A0"/>
    <w:rsid w:val="004B079A"/>
    <w:rsid w:val="004B1007"/>
    <w:rsid w:val="004B107A"/>
    <w:rsid w:val="004B111B"/>
    <w:rsid w:val="004B13B7"/>
    <w:rsid w:val="004B1A69"/>
    <w:rsid w:val="004B1DD4"/>
    <w:rsid w:val="004B2080"/>
    <w:rsid w:val="004B21C4"/>
    <w:rsid w:val="004B2669"/>
    <w:rsid w:val="004B2717"/>
    <w:rsid w:val="004B27CB"/>
    <w:rsid w:val="004B2901"/>
    <w:rsid w:val="004B2B9E"/>
    <w:rsid w:val="004B3235"/>
    <w:rsid w:val="004B32CB"/>
    <w:rsid w:val="004B355E"/>
    <w:rsid w:val="004B3636"/>
    <w:rsid w:val="004B3A32"/>
    <w:rsid w:val="004B3D94"/>
    <w:rsid w:val="004B4322"/>
    <w:rsid w:val="004B44CE"/>
    <w:rsid w:val="004B4630"/>
    <w:rsid w:val="004B4692"/>
    <w:rsid w:val="004B492D"/>
    <w:rsid w:val="004B4AD2"/>
    <w:rsid w:val="004B4C56"/>
    <w:rsid w:val="004B4D12"/>
    <w:rsid w:val="004B4D73"/>
    <w:rsid w:val="004B4E04"/>
    <w:rsid w:val="004B4E49"/>
    <w:rsid w:val="004B50E7"/>
    <w:rsid w:val="004B52E5"/>
    <w:rsid w:val="004B5353"/>
    <w:rsid w:val="004B5447"/>
    <w:rsid w:val="004B55F0"/>
    <w:rsid w:val="004B5AE9"/>
    <w:rsid w:val="004B5CB3"/>
    <w:rsid w:val="004B5CDD"/>
    <w:rsid w:val="004B5E5B"/>
    <w:rsid w:val="004B5F95"/>
    <w:rsid w:val="004B63AB"/>
    <w:rsid w:val="004B6910"/>
    <w:rsid w:val="004B6B28"/>
    <w:rsid w:val="004B6F07"/>
    <w:rsid w:val="004B7392"/>
    <w:rsid w:val="004B767B"/>
    <w:rsid w:val="004B76D0"/>
    <w:rsid w:val="004B7A5B"/>
    <w:rsid w:val="004C0074"/>
    <w:rsid w:val="004C038E"/>
    <w:rsid w:val="004C0602"/>
    <w:rsid w:val="004C0A9F"/>
    <w:rsid w:val="004C0EF5"/>
    <w:rsid w:val="004C1168"/>
    <w:rsid w:val="004C13F4"/>
    <w:rsid w:val="004C1472"/>
    <w:rsid w:val="004C16FD"/>
    <w:rsid w:val="004C1B1E"/>
    <w:rsid w:val="004C1B4F"/>
    <w:rsid w:val="004C1C43"/>
    <w:rsid w:val="004C1CA0"/>
    <w:rsid w:val="004C2052"/>
    <w:rsid w:val="004C2314"/>
    <w:rsid w:val="004C234A"/>
    <w:rsid w:val="004C24B7"/>
    <w:rsid w:val="004C24F5"/>
    <w:rsid w:val="004C255E"/>
    <w:rsid w:val="004C290B"/>
    <w:rsid w:val="004C2A11"/>
    <w:rsid w:val="004C2A18"/>
    <w:rsid w:val="004C2BCC"/>
    <w:rsid w:val="004C35B9"/>
    <w:rsid w:val="004C35F2"/>
    <w:rsid w:val="004C3730"/>
    <w:rsid w:val="004C3997"/>
    <w:rsid w:val="004C3CF6"/>
    <w:rsid w:val="004C3D51"/>
    <w:rsid w:val="004C42D7"/>
    <w:rsid w:val="004C49DD"/>
    <w:rsid w:val="004C4FA5"/>
    <w:rsid w:val="004C4FF8"/>
    <w:rsid w:val="004C51CD"/>
    <w:rsid w:val="004C5207"/>
    <w:rsid w:val="004C5313"/>
    <w:rsid w:val="004C5346"/>
    <w:rsid w:val="004C5559"/>
    <w:rsid w:val="004C55E0"/>
    <w:rsid w:val="004C5774"/>
    <w:rsid w:val="004C57D5"/>
    <w:rsid w:val="004C583E"/>
    <w:rsid w:val="004C5A35"/>
    <w:rsid w:val="004C5D1B"/>
    <w:rsid w:val="004C62CA"/>
    <w:rsid w:val="004C6325"/>
    <w:rsid w:val="004C66B9"/>
    <w:rsid w:val="004C6B38"/>
    <w:rsid w:val="004C6B39"/>
    <w:rsid w:val="004C6C7C"/>
    <w:rsid w:val="004C6E2E"/>
    <w:rsid w:val="004C6F26"/>
    <w:rsid w:val="004C7512"/>
    <w:rsid w:val="004C78D1"/>
    <w:rsid w:val="004C7945"/>
    <w:rsid w:val="004C7C7B"/>
    <w:rsid w:val="004C7DBA"/>
    <w:rsid w:val="004C7ECD"/>
    <w:rsid w:val="004D0151"/>
    <w:rsid w:val="004D02DA"/>
    <w:rsid w:val="004D0E43"/>
    <w:rsid w:val="004D0F3D"/>
    <w:rsid w:val="004D0FEA"/>
    <w:rsid w:val="004D1199"/>
    <w:rsid w:val="004D1263"/>
    <w:rsid w:val="004D1268"/>
    <w:rsid w:val="004D14FA"/>
    <w:rsid w:val="004D15F7"/>
    <w:rsid w:val="004D16A7"/>
    <w:rsid w:val="004D19E0"/>
    <w:rsid w:val="004D1E20"/>
    <w:rsid w:val="004D1F01"/>
    <w:rsid w:val="004D219B"/>
    <w:rsid w:val="004D2386"/>
    <w:rsid w:val="004D2424"/>
    <w:rsid w:val="004D266B"/>
    <w:rsid w:val="004D28A8"/>
    <w:rsid w:val="004D28D6"/>
    <w:rsid w:val="004D2978"/>
    <w:rsid w:val="004D2A79"/>
    <w:rsid w:val="004D2ACA"/>
    <w:rsid w:val="004D2B03"/>
    <w:rsid w:val="004D2B5B"/>
    <w:rsid w:val="004D2B8F"/>
    <w:rsid w:val="004D30BE"/>
    <w:rsid w:val="004D30FF"/>
    <w:rsid w:val="004D312B"/>
    <w:rsid w:val="004D330F"/>
    <w:rsid w:val="004D37A7"/>
    <w:rsid w:val="004D3995"/>
    <w:rsid w:val="004D3A59"/>
    <w:rsid w:val="004D3A6C"/>
    <w:rsid w:val="004D3B1D"/>
    <w:rsid w:val="004D40D6"/>
    <w:rsid w:val="004D47A0"/>
    <w:rsid w:val="004D4BE9"/>
    <w:rsid w:val="004D4C1E"/>
    <w:rsid w:val="004D4C2E"/>
    <w:rsid w:val="004D4E4F"/>
    <w:rsid w:val="004D5010"/>
    <w:rsid w:val="004D568A"/>
    <w:rsid w:val="004D577F"/>
    <w:rsid w:val="004D5808"/>
    <w:rsid w:val="004D5BF3"/>
    <w:rsid w:val="004D5C38"/>
    <w:rsid w:val="004D5D92"/>
    <w:rsid w:val="004D5DC6"/>
    <w:rsid w:val="004D5E2E"/>
    <w:rsid w:val="004D621F"/>
    <w:rsid w:val="004D672E"/>
    <w:rsid w:val="004D674E"/>
    <w:rsid w:val="004D6BF7"/>
    <w:rsid w:val="004D6F49"/>
    <w:rsid w:val="004D6F4C"/>
    <w:rsid w:val="004D7498"/>
    <w:rsid w:val="004D77D8"/>
    <w:rsid w:val="004D783A"/>
    <w:rsid w:val="004D7D05"/>
    <w:rsid w:val="004D7EC5"/>
    <w:rsid w:val="004E0414"/>
    <w:rsid w:val="004E05BF"/>
    <w:rsid w:val="004E0630"/>
    <w:rsid w:val="004E0B30"/>
    <w:rsid w:val="004E0C26"/>
    <w:rsid w:val="004E0E53"/>
    <w:rsid w:val="004E0EC7"/>
    <w:rsid w:val="004E0ED2"/>
    <w:rsid w:val="004E0FB6"/>
    <w:rsid w:val="004E161B"/>
    <w:rsid w:val="004E1742"/>
    <w:rsid w:val="004E1961"/>
    <w:rsid w:val="004E1B09"/>
    <w:rsid w:val="004E1C51"/>
    <w:rsid w:val="004E2093"/>
    <w:rsid w:val="004E21A6"/>
    <w:rsid w:val="004E21C8"/>
    <w:rsid w:val="004E24D3"/>
    <w:rsid w:val="004E251C"/>
    <w:rsid w:val="004E25DA"/>
    <w:rsid w:val="004E265E"/>
    <w:rsid w:val="004E27DD"/>
    <w:rsid w:val="004E2951"/>
    <w:rsid w:val="004E2E7E"/>
    <w:rsid w:val="004E2EED"/>
    <w:rsid w:val="004E2F91"/>
    <w:rsid w:val="004E312A"/>
    <w:rsid w:val="004E3209"/>
    <w:rsid w:val="004E3221"/>
    <w:rsid w:val="004E33D0"/>
    <w:rsid w:val="004E349F"/>
    <w:rsid w:val="004E3C67"/>
    <w:rsid w:val="004E3DC6"/>
    <w:rsid w:val="004E3E2D"/>
    <w:rsid w:val="004E4002"/>
    <w:rsid w:val="004E41C5"/>
    <w:rsid w:val="004E4913"/>
    <w:rsid w:val="004E4A29"/>
    <w:rsid w:val="004E4B93"/>
    <w:rsid w:val="004E4C54"/>
    <w:rsid w:val="004E50B3"/>
    <w:rsid w:val="004E547D"/>
    <w:rsid w:val="004E5524"/>
    <w:rsid w:val="004E5D97"/>
    <w:rsid w:val="004E63B7"/>
    <w:rsid w:val="004E63C6"/>
    <w:rsid w:val="004E64AD"/>
    <w:rsid w:val="004E64AE"/>
    <w:rsid w:val="004E6952"/>
    <w:rsid w:val="004E6E87"/>
    <w:rsid w:val="004E6FD2"/>
    <w:rsid w:val="004E71A2"/>
    <w:rsid w:val="004E73F8"/>
    <w:rsid w:val="004E75EE"/>
    <w:rsid w:val="004E75FA"/>
    <w:rsid w:val="004E7941"/>
    <w:rsid w:val="004E7F75"/>
    <w:rsid w:val="004F014B"/>
    <w:rsid w:val="004F01DE"/>
    <w:rsid w:val="004F0745"/>
    <w:rsid w:val="004F09B3"/>
    <w:rsid w:val="004F0B6B"/>
    <w:rsid w:val="004F0E01"/>
    <w:rsid w:val="004F1153"/>
    <w:rsid w:val="004F1240"/>
    <w:rsid w:val="004F12A3"/>
    <w:rsid w:val="004F164C"/>
    <w:rsid w:val="004F1794"/>
    <w:rsid w:val="004F196D"/>
    <w:rsid w:val="004F1A00"/>
    <w:rsid w:val="004F1AC9"/>
    <w:rsid w:val="004F1FFE"/>
    <w:rsid w:val="004F2587"/>
    <w:rsid w:val="004F2B8C"/>
    <w:rsid w:val="004F2C2D"/>
    <w:rsid w:val="004F2C5E"/>
    <w:rsid w:val="004F31DD"/>
    <w:rsid w:val="004F3699"/>
    <w:rsid w:val="004F3720"/>
    <w:rsid w:val="004F383B"/>
    <w:rsid w:val="004F4205"/>
    <w:rsid w:val="004F441A"/>
    <w:rsid w:val="004F44BD"/>
    <w:rsid w:val="004F45CF"/>
    <w:rsid w:val="004F48F1"/>
    <w:rsid w:val="004F4984"/>
    <w:rsid w:val="004F5079"/>
    <w:rsid w:val="004F5193"/>
    <w:rsid w:val="004F5607"/>
    <w:rsid w:val="004F5643"/>
    <w:rsid w:val="004F5685"/>
    <w:rsid w:val="004F578A"/>
    <w:rsid w:val="004F57F3"/>
    <w:rsid w:val="004F588B"/>
    <w:rsid w:val="004F59DF"/>
    <w:rsid w:val="004F5A73"/>
    <w:rsid w:val="004F5C8E"/>
    <w:rsid w:val="004F5D40"/>
    <w:rsid w:val="004F6079"/>
    <w:rsid w:val="004F6154"/>
    <w:rsid w:val="004F624A"/>
    <w:rsid w:val="004F6320"/>
    <w:rsid w:val="004F6428"/>
    <w:rsid w:val="004F66B3"/>
    <w:rsid w:val="004F6E47"/>
    <w:rsid w:val="004F6F1F"/>
    <w:rsid w:val="004F718E"/>
    <w:rsid w:val="004F7BB4"/>
    <w:rsid w:val="004F7D7C"/>
    <w:rsid w:val="004F7DDF"/>
    <w:rsid w:val="005000D0"/>
    <w:rsid w:val="005000DA"/>
    <w:rsid w:val="00500279"/>
    <w:rsid w:val="00500429"/>
    <w:rsid w:val="0050055C"/>
    <w:rsid w:val="005008A1"/>
    <w:rsid w:val="00500B3A"/>
    <w:rsid w:val="00500B76"/>
    <w:rsid w:val="00500BA1"/>
    <w:rsid w:val="00500CB4"/>
    <w:rsid w:val="00500DA7"/>
    <w:rsid w:val="00500EA1"/>
    <w:rsid w:val="005013F4"/>
    <w:rsid w:val="00501B14"/>
    <w:rsid w:val="00501B5E"/>
    <w:rsid w:val="00501ED6"/>
    <w:rsid w:val="00501FB6"/>
    <w:rsid w:val="005021B4"/>
    <w:rsid w:val="00502228"/>
    <w:rsid w:val="00502C33"/>
    <w:rsid w:val="005030BE"/>
    <w:rsid w:val="00503154"/>
    <w:rsid w:val="005037BF"/>
    <w:rsid w:val="00503C26"/>
    <w:rsid w:val="00503D0A"/>
    <w:rsid w:val="00503D65"/>
    <w:rsid w:val="00503F7C"/>
    <w:rsid w:val="00503FCF"/>
    <w:rsid w:val="0050404A"/>
    <w:rsid w:val="005043AA"/>
    <w:rsid w:val="005045D2"/>
    <w:rsid w:val="00504653"/>
    <w:rsid w:val="00504D3E"/>
    <w:rsid w:val="00504D9A"/>
    <w:rsid w:val="00504F81"/>
    <w:rsid w:val="0050535A"/>
    <w:rsid w:val="005055BF"/>
    <w:rsid w:val="00505629"/>
    <w:rsid w:val="005058E9"/>
    <w:rsid w:val="00506541"/>
    <w:rsid w:val="0050695B"/>
    <w:rsid w:val="00506E0C"/>
    <w:rsid w:val="00506E26"/>
    <w:rsid w:val="005073AE"/>
    <w:rsid w:val="00507930"/>
    <w:rsid w:val="00507A9D"/>
    <w:rsid w:val="00507B8A"/>
    <w:rsid w:val="005100E8"/>
    <w:rsid w:val="005103D9"/>
    <w:rsid w:val="005104A3"/>
    <w:rsid w:val="005105EA"/>
    <w:rsid w:val="00510745"/>
    <w:rsid w:val="00510AA7"/>
    <w:rsid w:val="00510B74"/>
    <w:rsid w:val="00510EE0"/>
    <w:rsid w:val="00511450"/>
    <w:rsid w:val="00511937"/>
    <w:rsid w:val="00511A64"/>
    <w:rsid w:val="00511BD3"/>
    <w:rsid w:val="00511C28"/>
    <w:rsid w:val="00511CA7"/>
    <w:rsid w:val="00511FF1"/>
    <w:rsid w:val="0051204A"/>
    <w:rsid w:val="005124C2"/>
    <w:rsid w:val="00512646"/>
    <w:rsid w:val="00512C40"/>
    <w:rsid w:val="00513189"/>
    <w:rsid w:val="00513351"/>
    <w:rsid w:val="00513368"/>
    <w:rsid w:val="00513A26"/>
    <w:rsid w:val="00513A94"/>
    <w:rsid w:val="00513D91"/>
    <w:rsid w:val="00513DAB"/>
    <w:rsid w:val="00514182"/>
    <w:rsid w:val="005143C3"/>
    <w:rsid w:val="0051457A"/>
    <w:rsid w:val="005148BC"/>
    <w:rsid w:val="00514B03"/>
    <w:rsid w:val="00514BEF"/>
    <w:rsid w:val="00514DB4"/>
    <w:rsid w:val="00514E00"/>
    <w:rsid w:val="00514E4B"/>
    <w:rsid w:val="00514F6B"/>
    <w:rsid w:val="0051515E"/>
    <w:rsid w:val="00515448"/>
    <w:rsid w:val="005155EC"/>
    <w:rsid w:val="00515EAF"/>
    <w:rsid w:val="00515FCF"/>
    <w:rsid w:val="005161ED"/>
    <w:rsid w:val="005162A2"/>
    <w:rsid w:val="0051669F"/>
    <w:rsid w:val="00516AD2"/>
    <w:rsid w:val="00516B53"/>
    <w:rsid w:val="00516CE2"/>
    <w:rsid w:val="00516F90"/>
    <w:rsid w:val="00517501"/>
    <w:rsid w:val="0051764C"/>
    <w:rsid w:val="0051770C"/>
    <w:rsid w:val="00517E8D"/>
    <w:rsid w:val="00517FFD"/>
    <w:rsid w:val="00520267"/>
    <w:rsid w:val="00520274"/>
    <w:rsid w:val="00520412"/>
    <w:rsid w:val="00520B27"/>
    <w:rsid w:val="00520C39"/>
    <w:rsid w:val="00521019"/>
    <w:rsid w:val="00521043"/>
    <w:rsid w:val="005210F2"/>
    <w:rsid w:val="005211AD"/>
    <w:rsid w:val="00521605"/>
    <w:rsid w:val="005219EA"/>
    <w:rsid w:val="00521BFE"/>
    <w:rsid w:val="00522034"/>
    <w:rsid w:val="00522170"/>
    <w:rsid w:val="0052295B"/>
    <w:rsid w:val="005229A4"/>
    <w:rsid w:val="00522A19"/>
    <w:rsid w:val="00522B9A"/>
    <w:rsid w:val="005232EB"/>
    <w:rsid w:val="005235EC"/>
    <w:rsid w:val="00523757"/>
    <w:rsid w:val="0052387F"/>
    <w:rsid w:val="005238C1"/>
    <w:rsid w:val="00523971"/>
    <w:rsid w:val="00523F02"/>
    <w:rsid w:val="005241AB"/>
    <w:rsid w:val="005241D8"/>
    <w:rsid w:val="005241E8"/>
    <w:rsid w:val="00524294"/>
    <w:rsid w:val="005243A0"/>
    <w:rsid w:val="00524523"/>
    <w:rsid w:val="005245B4"/>
    <w:rsid w:val="00524A5D"/>
    <w:rsid w:val="00524BBA"/>
    <w:rsid w:val="00524FF7"/>
    <w:rsid w:val="00525084"/>
    <w:rsid w:val="0052524A"/>
    <w:rsid w:val="005254D4"/>
    <w:rsid w:val="0052580A"/>
    <w:rsid w:val="00525A7A"/>
    <w:rsid w:val="00525B28"/>
    <w:rsid w:val="00525BEA"/>
    <w:rsid w:val="00525ED4"/>
    <w:rsid w:val="00525FB8"/>
    <w:rsid w:val="00526220"/>
    <w:rsid w:val="0052639B"/>
    <w:rsid w:val="0052655D"/>
    <w:rsid w:val="0052657C"/>
    <w:rsid w:val="00526583"/>
    <w:rsid w:val="00526605"/>
    <w:rsid w:val="00526694"/>
    <w:rsid w:val="0052684B"/>
    <w:rsid w:val="00526AEE"/>
    <w:rsid w:val="00526D39"/>
    <w:rsid w:val="00526D60"/>
    <w:rsid w:val="00526D74"/>
    <w:rsid w:val="00526E35"/>
    <w:rsid w:val="00527115"/>
    <w:rsid w:val="00527512"/>
    <w:rsid w:val="00527554"/>
    <w:rsid w:val="005278E3"/>
    <w:rsid w:val="005279B7"/>
    <w:rsid w:val="00527A85"/>
    <w:rsid w:val="00527CEE"/>
    <w:rsid w:val="00527E28"/>
    <w:rsid w:val="00527FE7"/>
    <w:rsid w:val="005302EA"/>
    <w:rsid w:val="005304BD"/>
    <w:rsid w:val="00530559"/>
    <w:rsid w:val="0053065B"/>
    <w:rsid w:val="00530CEA"/>
    <w:rsid w:val="00530DDF"/>
    <w:rsid w:val="00531413"/>
    <w:rsid w:val="00531441"/>
    <w:rsid w:val="005315ED"/>
    <w:rsid w:val="0053181A"/>
    <w:rsid w:val="0053198F"/>
    <w:rsid w:val="00531A03"/>
    <w:rsid w:val="00531C28"/>
    <w:rsid w:val="00531ED5"/>
    <w:rsid w:val="00532306"/>
    <w:rsid w:val="0053254F"/>
    <w:rsid w:val="005327E8"/>
    <w:rsid w:val="00532935"/>
    <w:rsid w:val="005329F6"/>
    <w:rsid w:val="00532ABE"/>
    <w:rsid w:val="00532C93"/>
    <w:rsid w:val="00532CB2"/>
    <w:rsid w:val="00532D0A"/>
    <w:rsid w:val="00532DDA"/>
    <w:rsid w:val="00533055"/>
    <w:rsid w:val="005333B4"/>
    <w:rsid w:val="005333BF"/>
    <w:rsid w:val="00533562"/>
    <w:rsid w:val="00533847"/>
    <w:rsid w:val="00533A23"/>
    <w:rsid w:val="00533B35"/>
    <w:rsid w:val="00533EBF"/>
    <w:rsid w:val="005341B4"/>
    <w:rsid w:val="00534275"/>
    <w:rsid w:val="00534329"/>
    <w:rsid w:val="0053443A"/>
    <w:rsid w:val="005347E9"/>
    <w:rsid w:val="00534834"/>
    <w:rsid w:val="00534B97"/>
    <w:rsid w:val="00534CD3"/>
    <w:rsid w:val="00534EDB"/>
    <w:rsid w:val="00534F4C"/>
    <w:rsid w:val="005355E3"/>
    <w:rsid w:val="005358A4"/>
    <w:rsid w:val="00535B57"/>
    <w:rsid w:val="00535D40"/>
    <w:rsid w:val="00535D83"/>
    <w:rsid w:val="00536251"/>
    <w:rsid w:val="0053650C"/>
    <w:rsid w:val="0053662E"/>
    <w:rsid w:val="005366D4"/>
    <w:rsid w:val="0053690B"/>
    <w:rsid w:val="00536C9C"/>
    <w:rsid w:val="00536DB1"/>
    <w:rsid w:val="00537130"/>
    <w:rsid w:val="00537245"/>
    <w:rsid w:val="00537250"/>
    <w:rsid w:val="00537253"/>
    <w:rsid w:val="0053765A"/>
    <w:rsid w:val="00537880"/>
    <w:rsid w:val="005378A3"/>
    <w:rsid w:val="00537FD4"/>
    <w:rsid w:val="00540343"/>
    <w:rsid w:val="005405E8"/>
    <w:rsid w:val="0054088B"/>
    <w:rsid w:val="005409D5"/>
    <w:rsid w:val="00540AA5"/>
    <w:rsid w:val="005418BF"/>
    <w:rsid w:val="00541A26"/>
    <w:rsid w:val="00541AF1"/>
    <w:rsid w:val="00541BFA"/>
    <w:rsid w:val="00541E11"/>
    <w:rsid w:val="00541FE8"/>
    <w:rsid w:val="005420A1"/>
    <w:rsid w:val="00542485"/>
    <w:rsid w:val="00542825"/>
    <w:rsid w:val="00542A41"/>
    <w:rsid w:val="00543032"/>
    <w:rsid w:val="0054314F"/>
    <w:rsid w:val="0054318E"/>
    <w:rsid w:val="005431A9"/>
    <w:rsid w:val="005431D3"/>
    <w:rsid w:val="00543514"/>
    <w:rsid w:val="0054393B"/>
    <w:rsid w:val="00543962"/>
    <w:rsid w:val="00543B97"/>
    <w:rsid w:val="0054424B"/>
    <w:rsid w:val="00544681"/>
    <w:rsid w:val="005446FD"/>
    <w:rsid w:val="00544BB3"/>
    <w:rsid w:val="00544D80"/>
    <w:rsid w:val="00544E28"/>
    <w:rsid w:val="00544F3C"/>
    <w:rsid w:val="00544FBF"/>
    <w:rsid w:val="0054533B"/>
    <w:rsid w:val="00545344"/>
    <w:rsid w:val="00545345"/>
    <w:rsid w:val="005455BB"/>
    <w:rsid w:val="005455E1"/>
    <w:rsid w:val="00545725"/>
    <w:rsid w:val="00545DAB"/>
    <w:rsid w:val="005460BB"/>
    <w:rsid w:val="005460E1"/>
    <w:rsid w:val="005461F3"/>
    <w:rsid w:val="005463E7"/>
    <w:rsid w:val="0054669D"/>
    <w:rsid w:val="00546B8B"/>
    <w:rsid w:val="005470F2"/>
    <w:rsid w:val="0054753A"/>
    <w:rsid w:val="005477E7"/>
    <w:rsid w:val="00547A56"/>
    <w:rsid w:val="00547A91"/>
    <w:rsid w:val="00547AEE"/>
    <w:rsid w:val="00547B2D"/>
    <w:rsid w:val="00547C59"/>
    <w:rsid w:val="00547C84"/>
    <w:rsid w:val="00547CBB"/>
    <w:rsid w:val="00547D8E"/>
    <w:rsid w:val="00547EC9"/>
    <w:rsid w:val="00547FE3"/>
    <w:rsid w:val="00547FFC"/>
    <w:rsid w:val="0055047A"/>
    <w:rsid w:val="005504AE"/>
    <w:rsid w:val="00550D55"/>
    <w:rsid w:val="00550DB6"/>
    <w:rsid w:val="00551098"/>
    <w:rsid w:val="00551189"/>
    <w:rsid w:val="005511C7"/>
    <w:rsid w:val="00551690"/>
    <w:rsid w:val="00551C1F"/>
    <w:rsid w:val="00551D4E"/>
    <w:rsid w:val="00551D9C"/>
    <w:rsid w:val="0055247A"/>
    <w:rsid w:val="00552618"/>
    <w:rsid w:val="0055272B"/>
    <w:rsid w:val="005527B7"/>
    <w:rsid w:val="005527B9"/>
    <w:rsid w:val="005527C9"/>
    <w:rsid w:val="00552851"/>
    <w:rsid w:val="0055292A"/>
    <w:rsid w:val="0055292B"/>
    <w:rsid w:val="00552A93"/>
    <w:rsid w:val="00552C15"/>
    <w:rsid w:val="00552C43"/>
    <w:rsid w:val="00552D3B"/>
    <w:rsid w:val="00553352"/>
    <w:rsid w:val="00553781"/>
    <w:rsid w:val="005538B4"/>
    <w:rsid w:val="00553A26"/>
    <w:rsid w:val="00553B1C"/>
    <w:rsid w:val="00553B4F"/>
    <w:rsid w:val="00553C08"/>
    <w:rsid w:val="00553CAC"/>
    <w:rsid w:val="00553DB4"/>
    <w:rsid w:val="0055428B"/>
    <w:rsid w:val="00554296"/>
    <w:rsid w:val="005545F7"/>
    <w:rsid w:val="00554A0C"/>
    <w:rsid w:val="00554AB3"/>
    <w:rsid w:val="005551DC"/>
    <w:rsid w:val="005556AB"/>
    <w:rsid w:val="005557D8"/>
    <w:rsid w:val="00555AFC"/>
    <w:rsid w:val="00555BE7"/>
    <w:rsid w:val="00555CC2"/>
    <w:rsid w:val="00555CE0"/>
    <w:rsid w:val="00555EF5"/>
    <w:rsid w:val="00555F81"/>
    <w:rsid w:val="0055627D"/>
    <w:rsid w:val="00556565"/>
    <w:rsid w:val="00556AE0"/>
    <w:rsid w:val="00556BD6"/>
    <w:rsid w:val="00557081"/>
    <w:rsid w:val="00557302"/>
    <w:rsid w:val="005574CB"/>
    <w:rsid w:val="005579EC"/>
    <w:rsid w:val="00557B73"/>
    <w:rsid w:val="00557D96"/>
    <w:rsid w:val="00557E3D"/>
    <w:rsid w:val="005601C6"/>
    <w:rsid w:val="005602C5"/>
    <w:rsid w:val="0056035B"/>
    <w:rsid w:val="00560674"/>
    <w:rsid w:val="00560C92"/>
    <w:rsid w:val="00560D0B"/>
    <w:rsid w:val="00560D2B"/>
    <w:rsid w:val="005610AC"/>
    <w:rsid w:val="0056136B"/>
    <w:rsid w:val="005619C7"/>
    <w:rsid w:val="00562515"/>
    <w:rsid w:val="00562A3D"/>
    <w:rsid w:val="00562AFE"/>
    <w:rsid w:val="00562CAC"/>
    <w:rsid w:val="00563046"/>
    <w:rsid w:val="00563292"/>
    <w:rsid w:val="005633AC"/>
    <w:rsid w:val="00563966"/>
    <w:rsid w:val="00563BAA"/>
    <w:rsid w:val="005642DA"/>
    <w:rsid w:val="0056473F"/>
    <w:rsid w:val="00564815"/>
    <w:rsid w:val="00564AF3"/>
    <w:rsid w:val="00564C73"/>
    <w:rsid w:val="00564ED1"/>
    <w:rsid w:val="005650DF"/>
    <w:rsid w:val="005652FB"/>
    <w:rsid w:val="005654F3"/>
    <w:rsid w:val="005654FD"/>
    <w:rsid w:val="00565531"/>
    <w:rsid w:val="005659AC"/>
    <w:rsid w:val="005659E2"/>
    <w:rsid w:val="00565A50"/>
    <w:rsid w:val="00565FE8"/>
    <w:rsid w:val="0056669F"/>
    <w:rsid w:val="00566976"/>
    <w:rsid w:val="0056699E"/>
    <w:rsid w:val="00566ACA"/>
    <w:rsid w:val="00566B98"/>
    <w:rsid w:val="00566BF0"/>
    <w:rsid w:val="00566C7D"/>
    <w:rsid w:val="00566CA9"/>
    <w:rsid w:val="00566D65"/>
    <w:rsid w:val="00567053"/>
    <w:rsid w:val="00567133"/>
    <w:rsid w:val="0056716C"/>
    <w:rsid w:val="00567389"/>
    <w:rsid w:val="005678EE"/>
    <w:rsid w:val="0056793F"/>
    <w:rsid w:val="005700DC"/>
    <w:rsid w:val="0057021C"/>
    <w:rsid w:val="00570245"/>
    <w:rsid w:val="00570648"/>
    <w:rsid w:val="005707C7"/>
    <w:rsid w:val="00570813"/>
    <w:rsid w:val="005709A2"/>
    <w:rsid w:val="005711AF"/>
    <w:rsid w:val="005713FE"/>
    <w:rsid w:val="0057143A"/>
    <w:rsid w:val="005714F6"/>
    <w:rsid w:val="00571A63"/>
    <w:rsid w:val="00571DD2"/>
    <w:rsid w:val="00572358"/>
    <w:rsid w:val="00572A4A"/>
    <w:rsid w:val="00572B7C"/>
    <w:rsid w:val="00572BCE"/>
    <w:rsid w:val="00573168"/>
    <w:rsid w:val="00573781"/>
    <w:rsid w:val="00573813"/>
    <w:rsid w:val="005738C9"/>
    <w:rsid w:val="00573A68"/>
    <w:rsid w:val="00573B86"/>
    <w:rsid w:val="00574108"/>
    <w:rsid w:val="00574644"/>
    <w:rsid w:val="0057469F"/>
    <w:rsid w:val="0057493F"/>
    <w:rsid w:val="005749E6"/>
    <w:rsid w:val="00574B6B"/>
    <w:rsid w:val="00574C90"/>
    <w:rsid w:val="00574D73"/>
    <w:rsid w:val="00574FA7"/>
    <w:rsid w:val="00575452"/>
    <w:rsid w:val="005758DF"/>
    <w:rsid w:val="00575D35"/>
    <w:rsid w:val="00575DD5"/>
    <w:rsid w:val="00575F70"/>
    <w:rsid w:val="0057626F"/>
    <w:rsid w:val="005767D1"/>
    <w:rsid w:val="005767E3"/>
    <w:rsid w:val="00576C33"/>
    <w:rsid w:val="00576C7B"/>
    <w:rsid w:val="00576E60"/>
    <w:rsid w:val="005772F0"/>
    <w:rsid w:val="0057732E"/>
    <w:rsid w:val="00577647"/>
    <w:rsid w:val="00577E38"/>
    <w:rsid w:val="00577EC7"/>
    <w:rsid w:val="00580042"/>
    <w:rsid w:val="00580355"/>
    <w:rsid w:val="0058058E"/>
    <w:rsid w:val="00580658"/>
    <w:rsid w:val="00580993"/>
    <w:rsid w:val="00580ADE"/>
    <w:rsid w:val="00580BF3"/>
    <w:rsid w:val="00580BF4"/>
    <w:rsid w:val="0058109F"/>
    <w:rsid w:val="00581398"/>
    <w:rsid w:val="005813EA"/>
    <w:rsid w:val="0058156C"/>
    <w:rsid w:val="005815F6"/>
    <w:rsid w:val="00581622"/>
    <w:rsid w:val="0058218C"/>
    <w:rsid w:val="005824C9"/>
    <w:rsid w:val="005824EC"/>
    <w:rsid w:val="00582B2B"/>
    <w:rsid w:val="00582C76"/>
    <w:rsid w:val="00582EFD"/>
    <w:rsid w:val="00582F03"/>
    <w:rsid w:val="00582F3E"/>
    <w:rsid w:val="00583196"/>
    <w:rsid w:val="0058387D"/>
    <w:rsid w:val="00583A97"/>
    <w:rsid w:val="00583BDD"/>
    <w:rsid w:val="00583CDE"/>
    <w:rsid w:val="00583DC7"/>
    <w:rsid w:val="005843B1"/>
    <w:rsid w:val="00584568"/>
    <w:rsid w:val="00584640"/>
    <w:rsid w:val="00584641"/>
    <w:rsid w:val="00584E08"/>
    <w:rsid w:val="00584E79"/>
    <w:rsid w:val="00584FAC"/>
    <w:rsid w:val="00585083"/>
    <w:rsid w:val="00585344"/>
    <w:rsid w:val="005853A4"/>
    <w:rsid w:val="005857F5"/>
    <w:rsid w:val="00585911"/>
    <w:rsid w:val="0058593E"/>
    <w:rsid w:val="00585CD0"/>
    <w:rsid w:val="00585F5C"/>
    <w:rsid w:val="005860C5"/>
    <w:rsid w:val="005865F4"/>
    <w:rsid w:val="00586635"/>
    <w:rsid w:val="00586B35"/>
    <w:rsid w:val="00586BB2"/>
    <w:rsid w:val="00586DAB"/>
    <w:rsid w:val="005871A8"/>
    <w:rsid w:val="00587454"/>
    <w:rsid w:val="00587A9E"/>
    <w:rsid w:val="00587D85"/>
    <w:rsid w:val="00587F39"/>
    <w:rsid w:val="005902D0"/>
    <w:rsid w:val="0059036E"/>
    <w:rsid w:val="005906A2"/>
    <w:rsid w:val="00590837"/>
    <w:rsid w:val="00590984"/>
    <w:rsid w:val="005911E0"/>
    <w:rsid w:val="00591507"/>
    <w:rsid w:val="005918F4"/>
    <w:rsid w:val="00591B75"/>
    <w:rsid w:val="00591D1F"/>
    <w:rsid w:val="00591D51"/>
    <w:rsid w:val="00591DA3"/>
    <w:rsid w:val="00591F1A"/>
    <w:rsid w:val="0059219E"/>
    <w:rsid w:val="00592286"/>
    <w:rsid w:val="005923C6"/>
    <w:rsid w:val="00592923"/>
    <w:rsid w:val="00592AAA"/>
    <w:rsid w:val="0059321E"/>
    <w:rsid w:val="00593259"/>
    <w:rsid w:val="00593644"/>
    <w:rsid w:val="0059386C"/>
    <w:rsid w:val="00593932"/>
    <w:rsid w:val="0059399A"/>
    <w:rsid w:val="00593A4B"/>
    <w:rsid w:val="00593AC4"/>
    <w:rsid w:val="00593C11"/>
    <w:rsid w:val="00594218"/>
    <w:rsid w:val="00594330"/>
    <w:rsid w:val="00594A69"/>
    <w:rsid w:val="00594E35"/>
    <w:rsid w:val="00595000"/>
    <w:rsid w:val="0059536B"/>
    <w:rsid w:val="005956B9"/>
    <w:rsid w:val="005956E2"/>
    <w:rsid w:val="00595883"/>
    <w:rsid w:val="00595E0F"/>
    <w:rsid w:val="00595FAC"/>
    <w:rsid w:val="00595FB3"/>
    <w:rsid w:val="005963EB"/>
    <w:rsid w:val="0059663A"/>
    <w:rsid w:val="005969E6"/>
    <w:rsid w:val="00596BB2"/>
    <w:rsid w:val="00596BD7"/>
    <w:rsid w:val="00596C26"/>
    <w:rsid w:val="00597115"/>
    <w:rsid w:val="0059731D"/>
    <w:rsid w:val="0059759D"/>
    <w:rsid w:val="00597668"/>
    <w:rsid w:val="0059776A"/>
    <w:rsid w:val="00597A0A"/>
    <w:rsid w:val="00597A57"/>
    <w:rsid w:val="00597FE1"/>
    <w:rsid w:val="005A02BC"/>
    <w:rsid w:val="005A03E4"/>
    <w:rsid w:val="005A0490"/>
    <w:rsid w:val="005A090D"/>
    <w:rsid w:val="005A0B16"/>
    <w:rsid w:val="005A0DE1"/>
    <w:rsid w:val="005A0F10"/>
    <w:rsid w:val="005A0FB1"/>
    <w:rsid w:val="005A12AF"/>
    <w:rsid w:val="005A1551"/>
    <w:rsid w:val="005A19AA"/>
    <w:rsid w:val="005A1F58"/>
    <w:rsid w:val="005A2684"/>
    <w:rsid w:val="005A26E8"/>
    <w:rsid w:val="005A26F9"/>
    <w:rsid w:val="005A27E2"/>
    <w:rsid w:val="005A2B87"/>
    <w:rsid w:val="005A2C10"/>
    <w:rsid w:val="005A2F33"/>
    <w:rsid w:val="005A303D"/>
    <w:rsid w:val="005A3047"/>
    <w:rsid w:val="005A3DE9"/>
    <w:rsid w:val="005A41C6"/>
    <w:rsid w:val="005A4240"/>
    <w:rsid w:val="005A441F"/>
    <w:rsid w:val="005A4450"/>
    <w:rsid w:val="005A44B8"/>
    <w:rsid w:val="005A44C6"/>
    <w:rsid w:val="005A453E"/>
    <w:rsid w:val="005A4750"/>
    <w:rsid w:val="005A477B"/>
    <w:rsid w:val="005A4795"/>
    <w:rsid w:val="005A4870"/>
    <w:rsid w:val="005A48F3"/>
    <w:rsid w:val="005A4A33"/>
    <w:rsid w:val="005A4AA1"/>
    <w:rsid w:val="005A4B26"/>
    <w:rsid w:val="005A4D0D"/>
    <w:rsid w:val="005A50C0"/>
    <w:rsid w:val="005A5356"/>
    <w:rsid w:val="005A572E"/>
    <w:rsid w:val="005A5C42"/>
    <w:rsid w:val="005A6099"/>
    <w:rsid w:val="005A615F"/>
    <w:rsid w:val="005A61DE"/>
    <w:rsid w:val="005A63C6"/>
    <w:rsid w:val="005A6914"/>
    <w:rsid w:val="005A6B47"/>
    <w:rsid w:val="005A6B5F"/>
    <w:rsid w:val="005A7140"/>
    <w:rsid w:val="005A73A7"/>
    <w:rsid w:val="005A73D4"/>
    <w:rsid w:val="005A7BED"/>
    <w:rsid w:val="005A7FD3"/>
    <w:rsid w:val="005B0162"/>
    <w:rsid w:val="005B01D8"/>
    <w:rsid w:val="005B01E2"/>
    <w:rsid w:val="005B0208"/>
    <w:rsid w:val="005B03CF"/>
    <w:rsid w:val="005B0443"/>
    <w:rsid w:val="005B0473"/>
    <w:rsid w:val="005B0554"/>
    <w:rsid w:val="005B055C"/>
    <w:rsid w:val="005B06B4"/>
    <w:rsid w:val="005B0CDB"/>
    <w:rsid w:val="005B0D71"/>
    <w:rsid w:val="005B17E5"/>
    <w:rsid w:val="005B18E7"/>
    <w:rsid w:val="005B1F46"/>
    <w:rsid w:val="005B2209"/>
    <w:rsid w:val="005B2744"/>
    <w:rsid w:val="005B288A"/>
    <w:rsid w:val="005B28D2"/>
    <w:rsid w:val="005B29FA"/>
    <w:rsid w:val="005B2C82"/>
    <w:rsid w:val="005B2CC3"/>
    <w:rsid w:val="005B2DC6"/>
    <w:rsid w:val="005B32BB"/>
    <w:rsid w:val="005B3564"/>
    <w:rsid w:val="005B3579"/>
    <w:rsid w:val="005B377B"/>
    <w:rsid w:val="005B39A0"/>
    <w:rsid w:val="005B3C26"/>
    <w:rsid w:val="005B3DA9"/>
    <w:rsid w:val="005B3FB8"/>
    <w:rsid w:val="005B3FD3"/>
    <w:rsid w:val="005B4395"/>
    <w:rsid w:val="005B44BD"/>
    <w:rsid w:val="005B46BD"/>
    <w:rsid w:val="005B4A07"/>
    <w:rsid w:val="005B4B1B"/>
    <w:rsid w:val="005B4B1D"/>
    <w:rsid w:val="005B4BC9"/>
    <w:rsid w:val="005B4C56"/>
    <w:rsid w:val="005B4C95"/>
    <w:rsid w:val="005B4DFE"/>
    <w:rsid w:val="005B5141"/>
    <w:rsid w:val="005B52AA"/>
    <w:rsid w:val="005B56DF"/>
    <w:rsid w:val="005B5858"/>
    <w:rsid w:val="005B58B6"/>
    <w:rsid w:val="005B5CBD"/>
    <w:rsid w:val="005B6040"/>
    <w:rsid w:val="005B63CE"/>
    <w:rsid w:val="005B6C7E"/>
    <w:rsid w:val="005B6F65"/>
    <w:rsid w:val="005B7199"/>
    <w:rsid w:val="005B730C"/>
    <w:rsid w:val="005B733E"/>
    <w:rsid w:val="005B75F7"/>
    <w:rsid w:val="005B7612"/>
    <w:rsid w:val="005B7877"/>
    <w:rsid w:val="005B7C1E"/>
    <w:rsid w:val="005B7CA5"/>
    <w:rsid w:val="005C007B"/>
    <w:rsid w:val="005C02F8"/>
    <w:rsid w:val="005C1171"/>
    <w:rsid w:val="005C166F"/>
    <w:rsid w:val="005C17D0"/>
    <w:rsid w:val="005C188C"/>
    <w:rsid w:val="005C1C55"/>
    <w:rsid w:val="005C1ED9"/>
    <w:rsid w:val="005C2096"/>
    <w:rsid w:val="005C2320"/>
    <w:rsid w:val="005C2472"/>
    <w:rsid w:val="005C2AAC"/>
    <w:rsid w:val="005C2D5E"/>
    <w:rsid w:val="005C2D94"/>
    <w:rsid w:val="005C2F83"/>
    <w:rsid w:val="005C30B3"/>
    <w:rsid w:val="005C3451"/>
    <w:rsid w:val="005C3661"/>
    <w:rsid w:val="005C3846"/>
    <w:rsid w:val="005C3A87"/>
    <w:rsid w:val="005C3B9D"/>
    <w:rsid w:val="005C3DA9"/>
    <w:rsid w:val="005C4482"/>
    <w:rsid w:val="005C4507"/>
    <w:rsid w:val="005C464F"/>
    <w:rsid w:val="005C4677"/>
    <w:rsid w:val="005C4745"/>
    <w:rsid w:val="005C476E"/>
    <w:rsid w:val="005C4807"/>
    <w:rsid w:val="005C4D09"/>
    <w:rsid w:val="005C4D9C"/>
    <w:rsid w:val="005C4E29"/>
    <w:rsid w:val="005C4E7F"/>
    <w:rsid w:val="005C4F86"/>
    <w:rsid w:val="005C5071"/>
    <w:rsid w:val="005C523F"/>
    <w:rsid w:val="005C531D"/>
    <w:rsid w:val="005C5B91"/>
    <w:rsid w:val="005C5BC1"/>
    <w:rsid w:val="005C5D3B"/>
    <w:rsid w:val="005C5EF7"/>
    <w:rsid w:val="005C5F24"/>
    <w:rsid w:val="005C60F3"/>
    <w:rsid w:val="005C6236"/>
    <w:rsid w:val="005C623F"/>
    <w:rsid w:val="005C6354"/>
    <w:rsid w:val="005C63CA"/>
    <w:rsid w:val="005C6467"/>
    <w:rsid w:val="005C6743"/>
    <w:rsid w:val="005C6AB9"/>
    <w:rsid w:val="005C6C6F"/>
    <w:rsid w:val="005C6D3C"/>
    <w:rsid w:val="005C6F02"/>
    <w:rsid w:val="005C7025"/>
    <w:rsid w:val="005C7050"/>
    <w:rsid w:val="005C71A6"/>
    <w:rsid w:val="005C73D5"/>
    <w:rsid w:val="005C786B"/>
    <w:rsid w:val="005C7A5B"/>
    <w:rsid w:val="005C7CCD"/>
    <w:rsid w:val="005D0317"/>
    <w:rsid w:val="005D05A0"/>
    <w:rsid w:val="005D05A6"/>
    <w:rsid w:val="005D0F90"/>
    <w:rsid w:val="005D1BAD"/>
    <w:rsid w:val="005D1C89"/>
    <w:rsid w:val="005D1D60"/>
    <w:rsid w:val="005D1E39"/>
    <w:rsid w:val="005D1E7D"/>
    <w:rsid w:val="005D1F9A"/>
    <w:rsid w:val="005D206D"/>
    <w:rsid w:val="005D20EA"/>
    <w:rsid w:val="005D25E8"/>
    <w:rsid w:val="005D26A3"/>
    <w:rsid w:val="005D270D"/>
    <w:rsid w:val="005D277C"/>
    <w:rsid w:val="005D2BB5"/>
    <w:rsid w:val="005D2BFF"/>
    <w:rsid w:val="005D2EFD"/>
    <w:rsid w:val="005D2FD9"/>
    <w:rsid w:val="005D32B5"/>
    <w:rsid w:val="005D3390"/>
    <w:rsid w:val="005D3402"/>
    <w:rsid w:val="005D392D"/>
    <w:rsid w:val="005D3DBE"/>
    <w:rsid w:val="005D3FD5"/>
    <w:rsid w:val="005D3FE0"/>
    <w:rsid w:val="005D400A"/>
    <w:rsid w:val="005D419B"/>
    <w:rsid w:val="005D4245"/>
    <w:rsid w:val="005D4294"/>
    <w:rsid w:val="005D4631"/>
    <w:rsid w:val="005D4932"/>
    <w:rsid w:val="005D4A37"/>
    <w:rsid w:val="005D4E4F"/>
    <w:rsid w:val="005D4F91"/>
    <w:rsid w:val="005D5065"/>
    <w:rsid w:val="005D53E6"/>
    <w:rsid w:val="005D543E"/>
    <w:rsid w:val="005D5494"/>
    <w:rsid w:val="005D55CE"/>
    <w:rsid w:val="005D588C"/>
    <w:rsid w:val="005D5E36"/>
    <w:rsid w:val="005D5F02"/>
    <w:rsid w:val="005D61A3"/>
    <w:rsid w:val="005D62A6"/>
    <w:rsid w:val="005D643A"/>
    <w:rsid w:val="005D6646"/>
    <w:rsid w:val="005D6693"/>
    <w:rsid w:val="005D6BF6"/>
    <w:rsid w:val="005D6D45"/>
    <w:rsid w:val="005D6D8B"/>
    <w:rsid w:val="005D6E4A"/>
    <w:rsid w:val="005D7252"/>
    <w:rsid w:val="005D72A0"/>
    <w:rsid w:val="005D737F"/>
    <w:rsid w:val="005D7684"/>
    <w:rsid w:val="005D77E2"/>
    <w:rsid w:val="005D7B05"/>
    <w:rsid w:val="005E016C"/>
    <w:rsid w:val="005E0199"/>
    <w:rsid w:val="005E06C2"/>
    <w:rsid w:val="005E0778"/>
    <w:rsid w:val="005E08DE"/>
    <w:rsid w:val="005E0AB8"/>
    <w:rsid w:val="005E0B1E"/>
    <w:rsid w:val="005E0F5B"/>
    <w:rsid w:val="005E101A"/>
    <w:rsid w:val="005E11CA"/>
    <w:rsid w:val="005E134D"/>
    <w:rsid w:val="005E1434"/>
    <w:rsid w:val="005E1952"/>
    <w:rsid w:val="005E206B"/>
    <w:rsid w:val="005E21DF"/>
    <w:rsid w:val="005E2241"/>
    <w:rsid w:val="005E22DF"/>
    <w:rsid w:val="005E236A"/>
    <w:rsid w:val="005E2763"/>
    <w:rsid w:val="005E27A7"/>
    <w:rsid w:val="005E2845"/>
    <w:rsid w:val="005E2944"/>
    <w:rsid w:val="005E2BBE"/>
    <w:rsid w:val="005E2D84"/>
    <w:rsid w:val="005E31A1"/>
    <w:rsid w:val="005E32E4"/>
    <w:rsid w:val="005E3931"/>
    <w:rsid w:val="005E3EFE"/>
    <w:rsid w:val="005E4669"/>
    <w:rsid w:val="005E46FC"/>
    <w:rsid w:val="005E4894"/>
    <w:rsid w:val="005E4C42"/>
    <w:rsid w:val="005E4D08"/>
    <w:rsid w:val="005E4ED5"/>
    <w:rsid w:val="005E4F3F"/>
    <w:rsid w:val="005E4F8C"/>
    <w:rsid w:val="005E5199"/>
    <w:rsid w:val="005E52EA"/>
    <w:rsid w:val="005E5360"/>
    <w:rsid w:val="005E547C"/>
    <w:rsid w:val="005E5565"/>
    <w:rsid w:val="005E56B6"/>
    <w:rsid w:val="005E60C8"/>
    <w:rsid w:val="005E642D"/>
    <w:rsid w:val="005E6463"/>
    <w:rsid w:val="005E6483"/>
    <w:rsid w:val="005E65CF"/>
    <w:rsid w:val="005E6A59"/>
    <w:rsid w:val="005E6B7B"/>
    <w:rsid w:val="005E6E25"/>
    <w:rsid w:val="005E6E9F"/>
    <w:rsid w:val="005E718F"/>
    <w:rsid w:val="005E722C"/>
    <w:rsid w:val="005E7589"/>
    <w:rsid w:val="005E76D5"/>
    <w:rsid w:val="005E7DF8"/>
    <w:rsid w:val="005E7F03"/>
    <w:rsid w:val="005F0327"/>
    <w:rsid w:val="005F03C3"/>
    <w:rsid w:val="005F0CE5"/>
    <w:rsid w:val="005F0E09"/>
    <w:rsid w:val="005F0F03"/>
    <w:rsid w:val="005F1045"/>
    <w:rsid w:val="005F10B2"/>
    <w:rsid w:val="005F1390"/>
    <w:rsid w:val="005F13F3"/>
    <w:rsid w:val="005F1686"/>
    <w:rsid w:val="005F1708"/>
    <w:rsid w:val="005F1916"/>
    <w:rsid w:val="005F1DB3"/>
    <w:rsid w:val="005F1E9F"/>
    <w:rsid w:val="005F2119"/>
    <w:rsid w:val="005F22A9"/>
    <w:rsid w:val="005F2ECC"/>
    <w:rsid w:val="005F3449"/>
    <w:rsid w:val="005F34B9"/>
    <w:rsid w:val="005F3748"/>
    <w:rsid w:val="005F383F"/>
    <w:rsid w:val="005F38D6"/>
    <w:rsid w:val="005F3A27"/>
    <w:rsid w:val="005F3BAD"/>
    <w:rsid w:val="005F42C2"/>
    <w:rsid w:val="005F43EA"/>
    <w:rsid w:val="005F4443"/>
    <w:rsid w:val="005F4507"/>
    <w:rsid w:val="005F4608"/>
    <w:rsid w:val="005F4862"/>
    <w:rsid w:val="005F4D21"/>
    <w:rsid w:val="005F4EB1"/>
    <w:rsid w:val="005F4EB6"/>
    <w:rsid w:val="005F4FCC"/>
    <w:rsid w:val="005F561F"/>
    <w:rsid w:val="005F56E7"/>
    <w:rsid w:val="005F5AF0"/>
    <w:rsid w:val="005F5DBB"/>
    <w:rsid w:val="005F607C"/>
    <w:rsid w:val="005F652E"/>
    <w:rsid w:val="005F6631"/>
    <w:rsid w:val="005F6727"/>
    <w:rsid w:val="005F68FF"/>
    <w:rsid w:val="005F6B7B"/>
    <w:rsid w:val="005F6BCE"/>
    <w:rsid w:val="005F6C67"/>
    <w:rsid w:val="005F6D7D"/>
    <w:rsid w:val="005F6F4F"/>
    <w:rsid w:val="005F71A1"/>
    <w:rsid w:val="005F73E0"/>
    <w:rsid w:val="005F7AF2"/>
    <w:rsid w:val="005F7CBB"/>
    <w:rsid w:val="00600A1C"/>
    <w:rsid w:val="00600E5B"/>
    <w:rsid w:val="006011DF"/>
    <w:rsid w:val="0060141D"/>
    <w:rsid w:val="006014C1"/>
    <w:rsid w:val="00601545"/>
    <w:rsid w:val="006015AB"/>
    <w:rsid w:val="006015DE"/>
    <w:rsid w:val="006017FD"/>
    <w:rsid w:val="006018E3"/>
    <w:rsid w:val="006019DB"/>
    <w:rsid w:val="00601ABD"/>
    <w:rsid w:val="00601ABF"/>
    <w:rsid w:val="00601C31"/>
    <w:rsid w:val="0060224F"/>
    <w:rsid w:val="006025B5"/>
    <w:rsid w:val="00602EF8"/>
    <w:rsid w:val="0060304B"/>
    <w:rsid w:val="0060393D"/>
    <w:rsid w:val="006039D2"/>
    <w:rsid w:val="00603A7E"/>
    <w:rsid w:val="00603B87"/>
    <w:rsid w:val="00603E3A"/>
    <w:rsid w:val="006040C5"/>
    <w:rsid w:val="0060421B"/>
    <w:rsid w:val="00604489"/>
    <w:rsid w:val="006045C3"/>
    <w:rsid w:val="006047F1"/>
    <w:rsid w:val="0060483E"/>
    <w:rsid w:val="00604D35"/>
    <w:rsid w:val="00604F84"/>
    <w:rsid w:val="00604FC5"/>
    <w:rsid w:val="00604FC8"/>
    <w:rsid w:val="00605072"/>
    <w:rsid w:val="006050F8"/>
    <w:rsid w:val="0060531C"/>
    <w:rsid w:val="0060567B"/>
    <w:rsid w:val="006056EB"/>
    <w:rsid w:val="006056F8"/>
    <w:rsid w:val="00605711"/>
    <w:rsid w:val="0060591F"/>
    <w:rsid w:val="00605D4C"/>
    <w:rsid w:val="00605D88"/>
    <w:rsid w:val="00605DAD"/>
    <w:rsid w:val="00605E85"/>
    <w:rsid w:val="00605FA0"/>
    <w:rsid w:val="00605FBE"/>
    <w:rsid w:val="00606258"/>
    <w:rsid w:val="0060685A"/>
    <w:rsid w:val="00606A80"/>
    <w:rsid w:val="00607064"/>
    <w:rsid w:val="006071DF"/>
    <w:rsid w:val="006075C6"/>
    <w:rsid w:val="006075CD"/>
    <w:rsid w:val="00607C94"/>
    <w:rsid w:val="00610097"/>
    <w:rsid w:val="0061012F"/>
    <w:rsid w:val="006105E2"/>
    <w:rsid w:val="006108D6"/>
    <w:rsid w:val="00610E17"/>
    <w:rsid w:val="00610E33"/>
    <w:rsid w:val="00611060"/>
    <w:rsid w:val="00611170"/>
    <w:rsid w:val="00611871"/>
    <w:rsid w:val="00611A9C"/>
    <w:rsid w:val="00611BC3"/>
    <w:rsid w:val="00612056"/>
    <w:rsid w:val="00612196"/>
    <w:rsid w:val="00612373"/>
    <w:rsid w:val="006123C9"/>
    <w:rsid w:val="00612553"/>
    <w:rsid w:val="00612577"/>
    <w:rsid w:val="006126B7"/>
    <w:rsid w:val="00612B53"/>
    <w:rsid w:val="00612D61"/>
    <w:rsid w:val="00612DA4"/>
    <w:rsid w:val="00613160"/>
    <w:rsid w:val="006132B3"/>
    <w:rsid w:val="006136AB"/>
    <w:rsid w:val="00613AFB"/>
    <w:rsid w:val="00613C9A"/>
    <w:rsid w:val="00613E10"/>
    <w:rsid w:val="00614099"/>
    <w:rsid w:val="006141FA"/>
    <w:rsid w:val="00614C38"/>
    <w:rsid w:val="00614CFD"/>
    <w:rsid w:val="00614D07"/>
    <w:rsid w:val="00615412"/>
    <w:rsid w:val="006155FE"/>
    <w:rsid w:val="0061563D"/>
    <w:rsid w:val="00615A41"/>
    <w:rsid w:val="00615F69"/>
    <w:rsid w:val="006162B8"/>
    <w:rsid w:val="0061650F"/>
    <w:rsid w:val="00616777"/>
    <w:rsid w:val="0061712E"/>
    <w:rsid w:val="006172A8"/>
    <w:rsid w:val="006172AC"/>
    <w:rsid w:val="006176FF"/>
    <w:rsid w:val="0061775D"/>
    <w:rsid w:val="006178F6"/>
    <w:rsid w:val="00617C43"/>
    <w:rsid w:val="00617C80"/>
    <w:rsid w:val="00617E8D"/>
    <w:rsid w:val="00620202"/>
    <w:rsid w:val="0062025A"/>
    <w:rsid w:val="00620C3A"/>
    <w:rsid w:val="00621181"/>
    <w:rsid w:val="0062126B"/>
    <w:rsid w:val="006213F5"/>
    <w:rsid w:val="006219D9"/>
    <w:rsid w:val="00621D01"/>
    <w:rsid w:val="00621E57"/>
    <w:rsid w:val="006220D7"/>
    <w:rsid w:val="00622174"/>
    <w:rsid w:val="0062221F"/>
    <w:rsid w:val="006225CA"/>
    <w:rsid w:val="0062274D"/>
    <w:rsid w:val="0062277C"/>
    <w:rsid w:val="00622B12"/>
    <w:rsid w:val="00622CA5"/>
    <w:rsid w:val="00622D9D"/>
    <w:rsid w:val="00622E90"/>
    <w:rsid w:val="00623127"/>
    <w:rsid w:val="0062313A"/>
    <w:rsid w:val="00623240"/>
    <w:rsid w:val="006237CF"/>
    <w:rsid w:val="00623C92"/>
    <w:rsid w:val="00623FD1"/>
    <w:rsid w:val="0062420F"/>
    <w:rsid w:val="006244D4"/>
    <w:rsid w:val="00624666"/>
    <w:rsid w:val="00624742"/>
    <w:rsid w:val="00624B92"/>
    <w:rsid w:val="00624E58"/>
    <w:rsid w:val="00624E9C"/>
    <w:rsid w:val="00625167"/>
    <w:rsid w:val="00625271"/>
    <w:rsid w:val="006252E5"/>
    <w:rsid w:val="0062540D"/>
    <w:rsid w:val="00625587"/>
    <w:rsid w:val="006255A1"/>
    <w:rsid w:val="00625741"/>
    <w:rsid w:val="0062574A"/>
    <w:rsid w:val="0062590A"/>
    <w:rsid w:val="006259D1"/>
    <w:rsid w:val="00625F70"/>
    <w:rsid w:val="00626061"/>
    <w:rsid w:val="006260D3"/>
    <w:rsid w:val="006264D3"/>
    <w:rsid w:val="006266E4"/>
    <w:rsid w:val="006267B0"/>
    <w:rsid w:val="00626A10"/>
    <w:rsid w:val="00626C37"/>
    <w:rsid w:val="00627118"/>
    <w:rsid w:val="00627615"/>
    <w:rsid w:val="006276C7"/>
    <w:rsid w:val="00627724"/>
    <w:rsid w:val="006278FA"/>
    <w:rsid w:val="00627CDC"/>
    <w:rsid w:val="00627FD7"/>
    <w:rsid w:val="00627FF9"/>
    <w:rsid w:val="006300EB"/>
    <w:rsid w:val="00630211"/>
    <w:rsid w:val="00630450"/>
    <w:rsid w:val="0063046C"/>
    <w:rsid w:val="00630558"/>
    <w:rsid w:val="006308A4"/>
    <w:rsid w:val="0063096E"/>
    <w:rsid w:val="00630AB4"/>
    <w:rsid w:val="00630D30"/>
    <w:rsid w:val="00630EF3"/>
    <w:rsid w:val="00631350"/>
    <w:rsid w:val="006314A7"/>
    <w:rsid w:val="00631CFE"/>
    <w:rsid w:val="00632821"/>
    <w:rsid w:val="00632983"/>
    <w:rsid w:val="00632BCF"/>
    <w:rsid w:val="00632C03"/>
    <w:rsid w:val="00632E1C"/>
    <w:rsid w:val="006330A0"/>
    <w:rsid w:val="00633151"/>
    <w:rsid w:val="006333DC"/>
    <w:rsid w:val="00633625"/>
    <w:rsid w:val="006336F2"/>
    <w:rsid w:val="00634572"/>
    <w:rsid w:val="006346E3"/>
    <w:rsid w:val="006346E7"/>
    <w:rsid w:val="00634747"/>
    <w:rsid w:val="00634D4E"/>
    <w:rsid w:val="00634D97"/>
    <w:rsid w:val="00634DC6"/>
    <w:rsid w:val="00635224"/>
    <w:rsid w:val="0063527C"/>
    <w:rsid w:val="006354AF"/>
    <w:rsid w:val="006358CB"/>
    <w:rsid w:val="0063594C"/>
    <w:rsid w:val="006359F7"/>
    <w:rsid w:val="00635A3E"/>
    <w:rsid w:val="00635C96"/>
    <w:rsid w:val="00635F11"/>
    <w:rsid w:val="00636424"/>
    <w:rsid w:val="006367A0"/>
    <w:rsid w:val="0063687C"/>
    <w:rsid w:val="006368D0"/>
    <w:rsid w:val="00636BBA"/>
    <w:rsid w:val="00636C7B"/>
    <w:rsid w:val="00636E3E"/>
    <w:rsid w:val="00636FA7"/>
    <w:rsid w:val="006371E6"/>
    <w:rsid w:val="0063722E"/>
    <w:rsid w:val="00637237"/>
    <w:rsid w:val="0063737C"/>
    <w:rsid w:val="00637408"/>
    <w:rsid w:val="0063743C"/>
    <w:rsid w:val="00637478"/>
    <w:rsid w:val="00637669"/>
    <w:rsid w:val="006376F5"/>
    <w:rsid w:val="006403AF"/>
    <w:rsid w:val="006404DA"/>
    <w:rsid w:val="00640513"/>
    <w:rsid w:val="0064068F"/>
    <w:rsid w:val="00640B10"/>
    <w:rsid w:val="00640BA8"/>
    <w:rsid w:val="00640D0B"/>
    <w:rsid w:val="006412C0"/>
    <w:rsid w:val="006413FD"/>
    <w:rsid w:val="0064170C"/>
    <w:rsid w:val="00641B90"/>
    <w:rsid w:val="00641CFF"/>
    <w:rsid w:val="00641D21"/>
    <w:rsid w:val="00641FAF"/>
    <w:rsid w:val="00642094"/>
    <w:rsid w:val="00642585"/>
    <w:rsid w:val="006429FC"/>
    <w:rsid w:val="00642A82"/>
    <w:rsid w:val="00642F23"/>
    <w:rsid w:val="006431F4"/>
    <w:rsid w:val="0064336D"/>
    <w:rsid w:val="00643567"/>
    <w:rsid w:val="006438E5"/>
    <w:rsid w:val="00643D2A"/>
    <w:rsid w:val="00643F3F"/>
    <w:rsid w:val="00643F55"/>
    <w:rsid w:val="0064413C"/>
    <w:rsid w:val="006442B9"/>
    <w:rsid w:val="00644BD7"/>
    <w:rsid w:val="00644D23"/>
    <w:rsid w:val="006451B7"/>
    <w:rsid w:val="00645205"/>
    <w:rsid w:val="00645255"/>
    <w:rsid w:val="006452DB"/>
    <w:rsid w:val="006458C1"/>
    <w:rsid w:val="00645A2B"/>
    <w:rsid w:val="00645C48"/>
    <w:rsid w:val="00645CE8"/>
    <w:rsid w:val="00645E14"/>
    <w:rsid w:val="00645F41"/>
    <w:rsid w:val="00645FBD"/>
    <w:rsid w:val="006462DF"/>
    <w:rsid w:val="006465A4"/>
    <w:rsid w:val="00646706"/>
    <w:rsid w:val="00647269"/>
    <w:rsid w:val="0064774F"/>
    <w:rsid w:val="0064777D"/>
    <w:rsid w:val="00650008"/>
    <w:rsid w:val="0065061D"/>
    <w:rsid w:val="00650B3B"/>
    <w:rsid w:val="00650BD8"/>
    <w:rsid w:val="00650D69"/>
    <w:rsid w:val="00650EC4"/>
    <w:rsid w:val="006511A4"/>
    <w:rsid w:val="0065146B"/>
    <w:rsid w:val="00651505"/>
    <w:rsid w:val="006515BC"/>
    <w:rsid w:val="00651782"/>
    <w:rsid w:val="00651786"/>
    <w:rsid w:val="006519D1"/>
    <w:rsid w:val="00651CAA"/>
    <w:rsid w:val="00651D68"/>
    <w:rsid w:val="00651DB4"/>
    <w:rsid w:val="00651E68"/>
    <w:rsid w:val="00652297"/>
    <w:rsid w:val="0065238E"/>
    <w:rsid w:val="006525F8"/>
    <w:rsid w:val="00652D70"/>
    <w:rsid w:val="00652E23"/>
    <w:rsid w:val="00652E2D"/>
    <w:rsid w:val="00653052"/>
    <w:rsid w:val="006530BF"/>
    <w:rsid w:val="006532E7"/>
    <w:rsid w:val="00653354"/>
    <w:rsid w:val="006533AE"/>
    <w:rsid w:val="006534C0"/>
    <w:rsid w:val="00653CF8"/>
    <w:rsid w:val="00653EEB"/>
    <w:rsid w:val="00653F00"/>
    <w:rsid w:val="00653F83"/>
    <w:rsid w:val="0065401D"/>
    <w:rsid w:val="0065408B"/>
    <w:rsid w:val="006542CF"/>
    <w:rsid w:val="00654467"/>
    <w:rsid w:val="0065468F"/>
    <w:rsid w:val="0065495F"/>
    <w:rsid w:val="006552A2"/>
    <w:rsid w:val="006556DA"/>
    <w:rsid w:val="006557EB"/>
    <w:rsid w:val="00655868"/>
    <w:rsid w:val="00655D5D"/>
    <w:rsid w:val="00655F2C"/>
    <w:rsid w:val="006560E0"/>
    <w:rsid w:val="00656322"/>
    <w:rsid w:val="006565ED"/>
    <w:rsid w:val="006569DD"/>
    <w:rsid w:val="00656B48"/>
    <w:rsid w:val="00656B5B"/>
    <w:rsid w:val="00656DC0"/>
    <w:rsid w:val="00656F0C"/>
    <w:rsid w:val="006570BD"/>
    <w:rsid w:val="00657106"/>
    <w:rsid w:val="00657250"/>
    <w:rsid w:val="00657260"/>
    <w:rsid w:val="006573F5"/>
    <w:rsid w:val="00657559"/>
    <w:rsid w:val="00657697"/>
    <w:rsid w:val="0065774B"/>
    <w:rsid w:val="00657A7D"/>
    <w:rsid w:val="00657A82"/>
    <w:rsid w:val="00657C54"/>
    <w:rsid w:val="00657F97"/>
    <w:rsid w:val="0066017A"/>
    <w:rsid w:val="006601B2"/>
    <w:rsid w:val="006605D3"/>
    <w:rsid w:val="0066065D"/>
    <w:rsid w:val="0066074F"/>
    <w:rsid w:val="00660F28"/>
    <w:rsid w:val="00661226"/>
    <w:rsid w:val="0066149A"/>
    <w:rsid w:val="006614E2"/>
    <w:rsid w:val="00661985"/>
    <w:rsid w:val="00661A26"/>
    <w:rsid w:val="00662920"/>
    <w:rsid w:val="00662BFE"/>
    <w:rsid w:val="006630A3"/>
    <w:rsid w:val="00663214"/>
    <w:rsid w:val="0066363F"/>
    <w:rsid w:val="00663652"/>
    <w:rsid w:val="00663A78"/>
    <w:rsid w:val="00663EDD"/>
    <w:rsid w:val="00664080"/>
    <w:rsid w:val="006647ED"/>
    <w:rsid w:val="00664B7C"/>
    <w:rsid w:val="00664C8A"/>
    <w:rsid w:val="00664D3D"/>
    <w:rsid w:val="00664E8A"/>
    <w:rsid w:val="00665C12"/>
    <w:rsid w:val="00665CC1"/>
    <w:rsid w:val="00665D3A"/>
    <w:rsid w:val="00665DBC"/>
    <w:rsid w:val="00665E29"/>
    <w:rsid w:val="006662B0"/>
    <w:rsid w:val="0066683B"/>
    <w:rsid w:val="00666972"/>
    <w:rsid w:val="00666DBF"/>
    <w:rsid w:val="00666E51"/>
    <w:rsid w:val="00666F0F"/>
    <w:rsid w:val="00667200"/>
    <w:rsid w:val="006673AC"/>
    <w:rsid w:val="006676C2"/>
    <w:rsid w:val="006676FB"/>
    <w:rsid w:val="00667769"/>
    <w:rsid w:val="006678B8"/>
    <w:rsid w:val="00667DDB"/>
    <w:rsid w:val="00667F57"/>
    <w:rsid w:val="00667FD9"/>
    <w:rsid w:val="00667FF8"/>
    <w:rsid w:val="006700A2"/>
    <w:rsid w:val="006703C2"/>
    <w:rsid w:val="0067041D"/>
    <w:rsid w:val="00670A20"/>
    <w:rsid w:val="00670C86"/>
    <w:rsid w:val="00670D25"/>
    <w:rsid w:val="00670D3E"/>
    <w:rsid w:val="00670F3F"/>
    <w:rsid w:val="00671054"/>
    <w:rsid w:val="006711DE"/>
    <w:rsid w:val="006711E4"/>
    <w:rsid w:val="00671238"/>
    <w:rsid w:val="006717CE"/>
    <w:rsid w:val="0067185A"/>
    <w:rsid w:val="00671956"/>
    <w:rsid w:val="00671F04"/>
    <w:rsid w:val="0067207D"/>
    <w:rsid w:val="00672176"/>
    <w:rsid w:val="00672225"/>
    <w:rsid w:val="006722A4"/>
    <w:rsid w:val="00672612"/>
    <w:rsid w:val="0067278C"/>
    <w:rsid w:val="006728D5"/>
    <w:rsid w:val="00672B29"/>
    <w:rsid w:val="00672BD9"/>
    <w:rsid w:val="00672C3D"/>
    <w:rsid w:val="00672DD4"/>
    <w:rsid w:val="00673733"/>
    <w:rsid w:val="00673EC6"/>
    <w:rsid w:val="00673F01"/>
    <w:rsid w:val="00673F65"/>
    <w:rsid w:val="00673FD3"/>
    <w:rsid w:val="00674158"/>
    <w:rsid w:val="0067449A"/>
    <w:rsid w:val="00674897"/>
    <w:rsid w:val="00674D04"/>
    <w:rsid w:val="00675282"/>
    <w:rsid w:val="00675385"/>
    <w:rsid w:val="006755D2"/>
    <w:rsid w:val="0067563A"/>
    <w:rsid w:val="006757D5"/>
    <w:rsid w:val="00675C37"/>
    <w:rsid w:val="00675CE2"/>
    <w:rsid w:val="00675EDD"/>
    <w:rsid w:val="00675F74"/>
    <w:rsid w:val="00676318"/>
    <w:rsid w:val="0067680B"/>
    <w:rsid w:val="00676956"/>
    <w:rsid w:val="00676A35"/>
    <w:rsid w:val="00676AD0"/>
    <w:rsid w:val="00676C50"/>
    <w:rsid w:val="00677119"/>
    <w:rsid w:val="0067751D"/>
    <w:rsid w:val="0067755C"/>
    <w:rsid w:val="00677679"/>
    <w:rsid w:val="00677884"/>
    <w:rsid w:val="006778BA"/>
    <w:rsid w:val="00677B42"/>
    <w:rsid w:val="00677BE7"/>
    <w:rsid w:val="00677C49"/>
    <w:rsid w:val="00677F8E"/>
    <w:rsid w:val="00680039"/>
    <w:rsid w:val="00680196"/>
    <w:rsid w:val="0068020E"/>
    <w:rsid w:val="006803CE"/>
    <w:rsid w:val="00680484"/>
    <w:rsid w:val="006804B7"/>
    <w:rsid w:val="00680808"/>
    <w:rsid w:val="00680924"/>
    <w:rsid w:val="00680C66"/>
    <w:rsid w:val="00680C79"/>
    <w:rsid w:val="00680E9C"/>
    <w:rsid w:val="006814F8"/>
    <w:rsid w:val="006815E8"/>
    <w:rsid w:val="006817B7"/>
    <w:rsid w:val="006817CB"/>
    <w:rsid w:val="00681946"/>
    <w:rsid w:val="00681BDB"/>
    <w:rsid w:val="00682377"/>
    <w:rsid w:val="00682398"/>
    <w:rsid w:val="0068248B"/>
    <w:rsid w:val="00682621"/>
    <w:rsid w:val="0068289B"/>
    <w:rsid w:val="00682990"/>
    <w:rsid w:val="00682EAE"/>
    <w:rsid w:val="00683056"/>
    <w:rsid w:val="00683074"/>
    <w:rsid w:val="00683171"/>
    <w:rsid w:val="00683352"/>
    <w:rsid w:val="0068375C"/>
    <w:rsid w:val="006837C6"/>
    <w:rsid w:val="0068399C"/>
    <w:rsid w:val="006839B6"/>
    <w:rsid w:val="00683C8C"/>
    <w:rsid w:val="00683D8C"/>
    <w:rsid w:val="00683EA7"/>
    <w:rsid w:val="00683F65"/>
    <w:rsid w:val="0068410A"/>
    <w:rsid w:val="00684436"/>
    <w:rsid w:val="006844A2"/>
    <w:rsid w:val="00684AD3"/>
    <w:rsid w:val="00684CB7"/>
    <w:rsid w:val="00685226"/>
    <w:rsid w:val="0068525F"/>
    <w:rsid w:val="00685365"/>
    <w:rsid w:val="006853F4"/>
    <w:rsid w:val="00686031"/>
    <w:rsid w:val="006861B5"/>
    <w:rsid w:val="006862A5"/>
    <w:rsid w:val="00686A5D"/>
    <w:rsid w:val="00686A68"/>
    <w:rsid w:val="00686AF0"/>
    <w:rsid w:val="00686F59"/>
    <w:rsid w:val="00687412"/>
    <w:rsid w:val="00687503"/>
    <w:rsid w:val="0068766A"/>
    <w:rsid w:val="006877A8"/>
    <w:rsid w:val="006878D3"/>
    <w:rsid w:val="00687AD9"/>
    <w:rsid w:val="00690617"/>
    <w:rsid w:val="0069089D"/>
    <w:rsid w:val="006908C8"/>
    <w:rsid w:val="006911A1"/>
    <w:rsid w:val="006914F7"/>
    <w:rsid w:val="00691A20"/>
    <w:rsid w:val="00691B8D"/>
    <w:rsid w:val="00691DEB"/>
    <w:rsid w:val="00691EC0"/>
    <w:rsid w:val="00691ED8"/>
    <w:rsid w:val="006920CE"/>
    <w:rsid w:val="00692757"/>
    <w:rsid w:val="00692838"/>
    <w:rsid w:val="00692EBF"/>
    <w:rsid w:val="00693013"/>
    <w:rsid w:val="00693016"/>
    <w:rsid w:val="0069303B"/>
    <w:rsid w:val="00693446"/>
    <w:rsid w:val="00693480"/>
    <w:rsid w:val="0069383C"/>
    <w:rsid w:val="00693CC9"/>
    <w:rsid w:val="006940ED"/>
    <w:rsid w:val="00694189"/>
    <w:rsid w:val="0069450A"/>
    <w:rsid w:val="006948BA"/>
    <w:rsid w:val="00694992"/>
    <w:rsid w:val="00694A06"/>
    <w:rsid w:val="00694EDD"/>
    <w:rsid w:val="0069555F"/>
    <w:rsid w:val="006955FF"/>
    <w:rsid w:val="00695879"/>
    <w:rsid w:val="00695885"/>
    <w:rsid w:val="00695A00"/>
    <w:rsid w:val="00695A2B"/>
    <w:rsid w:val="00695B15"/>
    <w:rsid w:val="00695F85"/>
    <w:rsid w:val="0069610E"/>
    <w:rsid w:val="0069617C"/>
    <w:rsid w:val="0069670A"/>
    <w:rsid w:val="0069698D"/>
    <w:rsid w:val="00696A6C"/>
    <w:rsid w:val="00696F5B"/>
    <w:rsid w:val="00696FA3"/>
    <w:rsid w:val="00697016"/>
    <w:rsid w:val="006971DA"/>
    <w:rsid w:val="006973B9"/>
    <w:rsid w:val="00697919"/>
    <w:rsid w:val="00697BAD"/>
    <w:rsid w:val="00697E56"/>
    <w:rsid w:val="00697EA6"/>
    <w:rsid w:val="00697F1F"/>
    <w:rsid w:val="00697F9D"/>
    <w:rsid w:val="006A0610"/>
    <w:rsid w:val="006A0804"/>
    <w:rsid w:val="006A0815"/>
    <w:rsid w:val="006A0B47"/>
    <w:rsid w:val="006A0DB4"/>
    <w:rsid w:val="006A0DE2"/>
    <w:rsid w:val="006A0E33"/>
    <w:rsid w:val="006A0E9E"/>
    <w:rsid w:val="006A0FA4"/>
    <w:rsid w:val="006A123C"/>
    <w:rsid w:val="006A1262"/>
    <w:rsid w:val="006A1280"/>
    <w:rsid w:val="006A134C"/>
    <w:rsid w:val="006A13DD"/>
    <w:rsid w:val="006A1910"/>
    <w:rsid w:val="006A1BB6"/>
    <w:rsid w:val="006A1BDD"/>
    <w:rsid w:val="006A1FD7"/>
    <w:rsid w:val="006A2278"/>
    <w:rsid w:val="006A22DE"/>
    <w:rsid w:val="006A2345"/>
    <w:rsid w:val="006A2384"/>
    <w:rsid w:val="006A28A8"/>
    <w:rsid w:val="006A2DAB"/>
    <w:rsid w:val="006A3433"/>
    <w:rsid w:val="006A382D"/>
    <w:rsid w:val="006A38AC"/>
    <w:rsid w:val="006A38BD"/>
    <w:rsid w:val="006A39B9"/>
    <w:rsid w:val="006A3C6A"/>
    <w:rsid w:val="006A41F2"/>
    <w:rsid w:val="006A4348"/>
    <w:rsid w:val="006A4433"/>
    <w:rsid w:val="006A486B"/>
    <w:rsid w:val="006A4A9E"/>
    <w:rsid w:val="006A5535"/>
    <w:rsid w:val="006A5BDC"/>
    <w:rsid w:val="006A5D1E"/>
    <w:rsid w:val="006A6067"/>
    <w:rsid w:val="006A61B9"/>
    <w:rsid w:val="006A621E"/>
    <w:rsid w:val="006A6452"/>
    <w:rsid w:val="006A6705"/>
    <w:rsid w:val="006A680A"/>
    <w:rsid w:val="006A686D"/>
    <w:rsid w:val="006A68FB"/>
    <w:rsid w:val="006A691B"/>
    <w:rsid w:val="006A69C1"/>
    <w:rsid w:val="006A6D62"/>
    <w:rsid w:val="006A6FFF"/>
    <w:rsid w:val="006A72B3"/>
    <w:rsid w:val="006A7325"/>
    <w:rsid w:val="006A7421"/>
    <w:rsid w:val="006A7818"/>
    <w:rsid w:val="006A7CA2"/>
    <w:rsid w:val="006A7EA4"/>
    <w:rsid w:val="006A7EF5"/>
    <w:rsid w:val="006A7F4D"/>
    <w:rsid w:val="006B03DA"/>
    <w:rsid w:val="006B05BF"/>
    <w:rsid w:val="006B06F6"/>
    <w:rsid w:val="006B0718"/>
    <w:rsid w:val="006B0B92"/>
    <w:rsid w:val="006B0D05"/>
    <w:rsid w:val="006B0F5A"/>
    <w:rsid w:val="006B1126"/>
    <w:rsid w:val="006B1FC0"/>
    <w:rsid w:val="006B20B6"/>
    <w:rsid w:val="006B20C6"/>
    <w:rsid w:val="006B2606"/>
    <w:rsid w:val="006B26A2"/>
    <w:rsid w:val="006B2CA1"/>
    <w:rsid w:val="006B30AA"/>
    <w:rsid w:val="006B31F3"/>
    <w:rsid w:val="006B326B"/>
    <w:rsid w:val="006B346F"/>
    <w:rsid w:val="006B3B13"/>
    <w:rsid w:val="006B3B17"/>
    <w:rsid w:val="006B3CCB"/>
    <w:rsid w:val="006B4200"/>
    <w:rsid w:val="006B462E"/>
    <w:rsid w:val="006B47AA"/>
    <w:rsid w:val="006B4A5C"/>
    <w:rsid w:val="006B53D5"/>
    <w:rsid w:val="006B543E"/>
    <w:rsid w:val="006B5540"/>
    <w:rsid w:val="006B57EC"/>
    <w:rsid w:val="006B5C1D"/>
    <w:rsid w:val="006B5D29"/>
    <w:rsid w:val="006B5DB2"/>
    <w:rsid w:val="006B604D"/>
    <w:rsid w:val="006B60DB"/>
    <w:rsid w:val="006B6246"/>
    <w:rsid w:val="006B645A"/>
    <w:rsid w:val="006B6660"/>
    <w:rsid w:val="006B6AB8"/>
    <w:rsid w:val="006B6BD1"/>
    <w:rsid w:val="006B72FF"/>
    <w:rsid w:val="006B7415"/>
    <w:rsid w:val="006B77BC"/>
    <w:rsid w:val="006B794C"/>
    <w:rsid w:val="006B7E30"/>
    <w:rsid w:val="006C052D"/>
    <w:rsid w:val="006C0AA9"/>
    <w:rsid w:val="006C0ADF"/>
    <w:rsid w:val="006C0D8E"/>
    <w:rsid w:val="006C1054"/>
    <w:rsid w:val="006C105C"/>
    <w:rsid w:val="006C12BE"/>
    <w:rsid w:val="006C1423"/>
    <w:rsid w:val="006C165A"/>
    <w:rsid w:val="006C18E0"/>
    <w:rsid w:val="006C1A8C"/>
    <w:rsid w:val="006C1EA7"/>
    <w:rsid w:val="006C2241"/>
    <w:rsid w:val="006C25D8"/>
    <w:rsid w:val="006C2A15"/>
    <w:rsid w:val="006C2B8A"/>
    <w:rsid w:val="006C328F"/>
    <w:rsid w:val="006C355C"/>
    <w:rsid w:val="006C40D3"/>
    <w:rsid w:val="006C4177"/>
    <w:rsid w:val="006C42F6"/>
    <w:rsid w:val="006C43DC"/>
    <w:rsid w:val="006C4420"/>
    <w:rsid w:val="006C467F"/>
    <w:rsid w:val="006C4C87"/>
    <w:rsid w:val="006C4C91"/>
    <w:rsid w:val="006C5159"/>
    <w:rsid w:val="006C5317"/>
    <w:rsid w:val="006C5574"/>
    <w:rsid w:val="006C6009"/>
    <w:rsid w:val="006C6151"/>
    <w:rsid w:val="006C6A87"/>
    <w:rsid w:val="006C6BB9"/>
    <w:rsid w:val="006C6E45"/>
    <w:rsid w:val="006C730D"/>
    <w:rsid w:val="006C7493"/>
    <w:rsid w:val="006C74C3"/>
    <w:rsid w:val="006C7640"/>
    <w:rsid w:val="006C7B40"/>
    <w:rsid w:val="006C7C07"/>
    <w:rsid w:val="006C7C7A"/>
    <w:rsid w:val="006D00EC"/>
    <w:rsid w:val="006D0A7C"/>
    <w:rsid w:val="006D0B38"/>
    <w:rsid w:val="006D0BBD"/>
    <w:rsid w:val="006D0C1A"/>
    <w:rsid w:val="006D1014"/>
    <w:rsid w:val="006D11A5"/>
    <w:rsid w:val="006D1297"/>
    <w:rsid w:val="006D1498"/>
    <w:rsid w:val="006D1739"/>
    <w:rsid w:val="006D19BA"/>
    <w:rsid w:val="006D1D44"/>
    <w:rsid w:val="006D2451"/>
    <w:rsid w:val="006D245B"/>
    <w:rsid w:val="006D2602"/>
    <w:rsid w:val="006D28D4"/>
    <w:rsid w:val="006D2A4A"/>
    <w:rsid w:val="006D2B46"/>
    <w:rsid w:val="006D2E32"/>
    <w:rsid w:val="006D2F9D"/>
    <w:rsid w:val="006D31AF"/>
    <w:rsid w:val="006D34D3"/>
    <w:rsid w:val="006D3A9C"/>
    <w:rsid w:val="006D3F4F"/>
    <w:rsid w:val="006D4004"/>
    <w:rsid w:val="006D4042"/>
    <w:rsid w:val="006D422B"/>
    <w:rsid w:val="006D4402"/>
    <w:rsid w:val="006D44F7"/>
    <w:rsid w:val="006D4C28"/>
    <w:rsid w:val="006D515E"/>
    <w:rsid w:val="006D5300"/>
    <w:rsid w:val="006D53E4"/>
    <w:rsid w:val="006D5414"/>
    <w:rsid w:val="006D58DE"/>
    <w:rsid w:val="006D5E7F"/>
    <w:rsid w:val="006D5ED4"/>
    <w:rsid w:val="006D60FF"/>
    <w:rsid w:val="006D6AA6"/>
    <w:rsid w:val="006D6E7C"/>
    <w:rsid w:val="006D6F34"/>
    <w:rsid w:val="006D71A1"/>
    <w:rsid w:val="006D731B"/>
    <w:rsid w:val="006D7398"/>
    <w:rsid w:val="006D749B"/>
    <w:rsid w:val="006D749F"/>
    <w:rsid w:val="006D76D2"/>
    <w:rsid w:val="006D7731"/>
    <w:rsid w:val="006D7BEE"/>
    <w:rsid w:val="006D7ED7"/>
    <w:rsid w:val="006D7FA3"/>
    <w:rsid w:val="006E021D"/>
    <w:rsid w:val="006E0289"/>
    <w:rsid w:val="006E0AA6"/>
    <w:rsid w:val="006E0E82"/>
    <w:rsid w:val="006E1003"/>
    <w:rsid w:val="006E1029"/>
    <w:rsid w:val="006E139B"/>
    <w:rsid w:val="006E1413"/>
    <w:rsid w:val="006E1466"/>
    <w:rsid w:val="006E147E"/>
    <w:rsid w:val="006E1A6F"/>
    <w:rsid w:val="006E2726"/>
    <w:rsid w:val="006E2733"/>
    <w:rsid w:val="006E2897"/>
    <w:rsid w:val="006E2A0C"/>
    <w:rsid w:val="006E2B28"/>
    <w:rsid w:val="006E2F05"/>
    <w:rsid w:val="006E354D"/>
    <w:rsid w:val="006E356E"/>
    <w:rsid w:val="006E3804"/>
    <w:rsid w:val="006E4525"/>
    <w:rsid w:val="006E4739"/>
    <w:rsid w:val="006E49E3"/>
    <w:rsid w:val="006E4AAD"/>
    <w:rsid w:val="006E4EBB"/>
    <w:rsid w:val="006E5299"/>
    <w:rsid w:val="006E52A4"/>
    <w:rsid w:val="006E54CA"/>
    <w:rsid w:val="006E59B0"/>
    <w:rsid w:val="006E5AD1"/>
    <w:rsid w:val="006E5D42"/>
    <w:rsid w:val="006E6246"/>
    <w:rsid w:val="006E6299"/>
    <w:rsid w:val="006E64A9"/>
    <w:rsid w:val="006E65ED"/>
    <w:rsid w:val="006E6687"/>
    <w:rsid w:val="006E675F"/>
    <w:rsid w:val="006E68B1"/>
    <w:rsid w:val="006E6C23"/>
    <w:rsid w:val="006E6C7F"/>
    <w:rsid w:val="006E7064"/>
    <w:rsid w:val="006E7124"/>
    <w:rsid w:val="006E735C"/>
    <w:rsid w:val="006E7E78"/>
    <w:rsid w:val="006E7F85"/>
    <w:rsid w:val="006F0227"/>
    <w:rsid w:val="006F0262"/>
    <w:rsid w:val="006F0343"/>
    <w:rsid w:val="006F072C"/>
    <w:rsid w:val="006F0735"/>
    <w:rsid w:val="006F0946"/>
    <w:rsid w:val="006F0B8B"/>
    <w:rsid w:val="006F1067"/>
    <w:rsid w:val="006F113E"/>
    <w:rsid w:val="006F1232"/>
    <w:rsid w:val="006F1291"/>
    <w:rsid w:val="006F1530"/>
    <w:rsid w:val="006F167E"/>
    <w:rsid w:val="006F177D"/>
    <w:rsid w:val="006F1882"/>
    <w:rsid w:val="006F1AEB"/>
    <w:rsid w:val="006F1E18"/>
    <w:rsid w:val="006F232A"/>
    <w:rsid w:val="006F2611"/>
    <w:rsid w:val="006F26AD"/>
    <w:rsid w:val="006F2A2D"/>
    <w:rsid w:val="006F2CBB"/>
    <w:rsid w:val="006F2E55"/>
    <w:rsid w:val="006F3186"/>
    <w:rsid w:val="006F334B"/>
    <w:rsid w:val="006F3573"/>
    <w:rsid w:val="006F362D"/>
    <w:rsid w:val="006F36DA"/>
    <w:rsid w:val="006F3A43"/>
    <w:rsid w:val="006F3CEE"/>
    <w:rsid w:val="006F3D73"/>
    <w:rsid w:val="006F410B"/>
    <w:rsid w:val="006F42A8"/>
    <w:rsid w:val="006F445A"/>
    <w:rsid w:val="006F4476"/>
    <w:rsid w:val="006F45D6"/>
    <w:rsid w:val="006F469D"/>
    <w:rsid w:val="006F46FA"/>
    <w:rsid w:val="006F475F"/>
    <w:rsid w:val="006F48A7"/>
    <w:rsid w:val="006F4EE0"/>
    <w:rsid w:val="006F57A0"/>
    <w:rsid w:val="006F5CC8"/>
    <w:rsid w:val="006F62F6"/>
    <w:rsid w:val="006F6D0D"/>
    <w:rsid w:val="006F6ED2"/>
    <w:rsid w:val="006F70D1"/>
    <w:rsid w:val="006F728A"/>
    <w:rsid w:val="006F742C"/>
    <w:rsid w:val="006F78C9"/>
    <w:rsid w:val="0070020E"/>
    <w:rsid w:val="0070038D"/>
    <w:rsid w:val="007006E6"/>
    <w:rsid w:val="0070076B"/>
    <w:rsid w:val="0070094D"/>
    <w:rsid w:val="0070097C"/>
    <w:rsid w:val="00700AC4"/>
    <w:rsid w:val="00700E2B"/>
    <w:rsid w:val="00700FC2"/>
    <w:rsid w:val="00701076"/>
    <w:rsid w:val="007012EF"/>
    <w:rsid w:val="00701384"/>
    <w:rsid w:val="00701514"/>
    <w:rsid w:val="007016BE"/>
    <w:rsid w:val="007018B9"/>
    <w:rsid w:val="00701972"/>
    <w:rsid w:val="0070198F"/>
    <w:rsid w:val="00701C79"/>
    <w:rsid w:val="00701CC8"/>
    <w:rsid w:val="00701E0B"/>
    <w:rsid w:val="00701F88"/>
    <w:rsid w:val="0070295D"/>
    <w:rsid w:val="00702A45"/>
    <w:rsid w:val="00702C08"/>
    <w:rsid w:val="00703004"/>
    <w:rsid w:val="007031B2"/>
    <w:rsid w:val="007034E1"/>
    <w:rsid w:val="007034F2"/>
    <w:rsid w:val="0070350E"/>
    <w:rsid w:val="00703A47"/>
    <w:rsid w:val="00703DBF"/>
    <w:rsid w:val="0070411A"/>
    <w:rsid w:val="00704179"/>
    <w:rsid w:val="00704213"/>
    <w:rsid w:val="00704430"/>
    <w:rsid w:val="007045A1"/>
    <w:rsid w:val="007045F1"/>
    <w:rsid w:val="007050F8"/>
    <w:rsid w:val="00705180"/>
    <w:rsid w:val="00705343"/>
    <w:rsid w:val="00705B14"/>
    <w:rsid w:val="00705C4C"/>
    <w:rsid w:val="00705E90"/>
    <w:rsid w:val="00706224"/>
    <w:rsid w:val="007062F9"/>
    <w:rsid w:val="0070639B"/>
    <w:rsid w:val="00706436"/>
    <w:rsid w:val="00706560"/>
    <w:rsid w:val="00706719"/>
    <w:rsid w:val="0070677C"/>
    <w:rsid w:val="00706EDC"/>
    <w:rsid w:val="00706EFF"/>
    <w:rsid w:val="00706FA4"/>
    <w:rsid w:val="0070725F"/>
    <w:rsid w:val="007072DB"/>
    <w:rsid w:val="007073EB"/>
    <w:rsid w:val="00707745"/>
    <w:rsid w:val="00707885"/>
    <w:rsid w:val="00707B73"/>
    <w:rsid w:val="007100C4"/>
    <w:rsid w:val="007101E4"/>
    <w:rsid w:val="00710736"/>
    <w:rsid w:val="00710837"/>
    <w:rsid w:val="00710AE3"/>
    <w:rsid w:val="00710DD3"/>
    <w:rsid w:val="00710E1D"/>
    <w:rsid w:val="0071105C"/>
    <w:rsid w:val="00711333"/>
    <w:rsid w:val="007114C9"/>
    <w:rsid w:val="007118E2"/>
    <w:rsid w:val="0071223E"/>
    <w:rsid w:val="007123D9"/>
    <w:rsid w:val="007125BD"/>
    <w:rsid w:val="0071281C"/>
    <w:rsid w:val="00712B4E"/>
    <w:rsid w:val="00712B66"/>
    <w:rsid w:val="00712BB7"/>
    <w:rsid w:val="00712CF7"/>
    <w:rsid w:val="00712DE9"/>
    <w:rsid w:val="0071321F"/>
    <w:rsid w:val="0071329D"/>
    <w:rsid w:val="0071335F"/>
    <w:rsid w:val="007139A0"/>
    <w:rsid w:val="00713B5D"/>
    <w:rsid w:val="00713CD2"/>
    <w:rsid w:val="00713D79"/>
    <w:rsid w:val="00713E22"/>
    <w:rsid w:val="00713E23"/>
    <w:rsid w:val="00713F27"/>
    <w:rsid w:val="007140B3"/>
    <w:rsid w:val="0071425F"/>
    <w:rsid w:val="007145BC"/>
    <w:rsid w:val="007145DF"/>
    <w:rsid w:val="007146B4"/>
    <w:rsid w:val="007148C2"/>
    <w:rsid w:val="007148CF"/>
    <w:rsid w:val="00714A56"/>
    <w:rsid w:val="00714DA5"/>
    <w:rsid w:val="00714EDC"/>
    <w:rsid w:val="00714EED"/>
    <w:rsid w:val="007151D3"/>
    <w:rsid w:val="007151F7"/>
    <w:rsid w:val="00715306"/>
    <w:rsid w:val="00715315"/>
    <w:rsid w:val="0071539B"/>
    <w:rsid w:val="007155C8"/>
    <w:rsid w:val="007156E0"/>
    <w:rsid w:val="007157BA"/>
    <w:rsid w:val="00715B30"/>
    <w:rsid w:val="00715BC8"/>
    <w:rsid w:val="00715CFC"/>
    <w:rsid w:val="00715D7F"/>
    <w:rsid w:val="00715E01"/>
    <w:rsid w:val="00715F15"/>
    <w:rsid w:val="00715F94"/>
    <w:rsid w:val="007161CA"/>
    <w:rsid w:val="0071654B"/>
    <w:rsid w:val="00716637"/>
    <w:rsid w:val="007167DF"/>
    <w:rsid w:val="0071696E"/>
    <w:rsid w:val="00716990"/>
    <w:rsid w:val="00716CD0"/>
    <w:rsid w:val="00716DA6"/>
    <w:rsid w:val="00716E14"/>
    <w:rsid w:val="00716E48"/>
    <w:rsid w:val="007171FC"/>
    <w:rsid w:val="0071743C"/>
    <w:rsid w:val="007174E5"/>
    <w:rsid w:val="00717AFF"/>
    <w:rsid w:val="00717B60"/>
    <w:rsid w:val="00720002"/>
    <w:rsid w:val="007201B3"/>
    <w:rsid w:val="007201DA"/>
    <w:rsid w:val="0072020A"/>
    <w:rsid w:val="00720930"/>
    <w:rsid w:val="00720AC0"/>
    <w:rsid w:val="00720D97"/>
    <w:rsid w:val="00720E97"/>
    <w:rsid w:val="007215E0"/>
    <w:rsid w:val="00721B6D"/>
    <w:rsid w:val="00721C2F"/>
    <w:rsid w:val="00721DDB"/>
    <w:rsid w:val="00722443"/>
    <w:rsid w:val="007226DA"/>
    <w:rsid w:val="00722720"/>
    <w:rsid w:val="0072294C"/>
    <w:rsid w:val="00722AB5"/>
    <w:rsid w:val="00722B6C"/>
    <w:rsid w:val="00722C72"/>
    <w:rsid w:val="00722E15"/>
    <w:rsid w:val="00722EAF"/>
    <w:rsid w:val="0072335D"/>
    <w:rsid w:val="00723890"/>
    <w:rsid w:val="00723C81"/>
    <w:rsid w:val="00724196"/>
    <w:rsid w:val="00724380"/>
    <w:rsid w:val="007243B5"/>
    <w:rsid w:val="00724563"/>
    <w:rsid w:val="0072466D"/>
    <w:rsid w:val="007247C9"/>
    <w:rsid w:val="00724BED"/>
    <w:rsid w:val="0072508F"/>
    <w:rsid w:val="007250E0"/>
    <w:rsid w:val="00725D6D"/>
    <w:rsid w:val="00725FB7"/>
    <w:rsid w:val="007262A0"/>
    <w:rsid w:val="00726365"/>
    <w:rsid w:val="0072639D"/>
    <w:rsid w:val="007266E2"/>
    <w:rsid w:val="0072678B"/>
    <w:rsid w:val="007267A9"/>
    <w:rsid w:val="0072688E"/>
    <w:rsid w:val="00727026"/>
    <w:rsid w:val="007270CC"/>
    <w:rsid w:val="00727305"/>
    <w:rsid w:val="00727459"/>
    <w:rsid w:val="00727556"/>
    <w:rsid w:val="00727659"/>
    <w:rsid w:val="00727703"/>
    <w:rsid w:val="007279CB"/>
    <w:rsid w:val="00727A2C"/>
    <w:rsid w:val="00727A4D"/>
    <w:rsid w:val="00727BCA"/>
    <w:rsid w:val="00727CDF"/>
    <w:rsid w:val="00727CFE"/>
    <w:rsid w:val="00727E1A"/>
    <w:rsid w:val="00727E3B"/>
    <w:rsid w:val="00727F8F"/>
    <w:rsid w:val="00730034"/>
    <w:rsid w:val="007303EE"/>
    <w:rsid w:val="0073070F"/>
    <w:rsid w:val="0073078A"/>
    <w:rsid w:val="007307BB"/>
    <w:rsid w:val="00730B15"/>
    <w:rsid w:val="00730BFA"/>
    <w:rsid w:val="00730DA6"/>
    <w:rsid w:val="00731153"/>
    <w:rsid w:val="007311FF"/>
    <w:rsid w:val="00731363"/>
    <w:rsid w:val="007314BC"/>
    <w:rsid w:val="0073160C"/>
    <w:rsid w:val="00731ACF"/>
    <w:rsid w:val="00731E6D"/>
    <w:rsid w:val="00731F4C"/>
    <w:rsid w:val="00732029"/>
    <w:rsid w:val="00732303"/>
    <w:rsid w:val="00732359"/>
    <w:rsid w:val="007323C6"/>
    <w:rsid w:val="007324C9"/>
    <w:rsid w:val="00732545"/>
    <w:rsid w:val="00732699"/>
    <w:rsid w:val="007326C6"/>
    <w:rsid w:val="007329D9"/>
    <w:rsid w:val="00732E30"/>
    <w:rsid w:val="00732E55"/>
    <w:rsid w:val="00732E68"/>
    <w:rsid w:val="00733042"/>
    <w:rsid w:val="00733359"/>
    <w:rsid w:val="00733427"/>
    <w:rsid w:val="00733471"/>
    <w:rsid w:val="007334A9"/>
    <w:rsid w:val="007338C3"/>
    <w:rsid w:val="00733ADC"/>
    <w:rsid w:val="00733BFB"/>
    <w:rsid w:val="00733DDE"/>
    <w:rsid w:val="00733ECA"/>
    <w:rsid w:val="00733F90"/>
    <w:rsid w:val="0073414F"/>
    <w:rsid w:val="0073418C"/>
    <w:rsid w:val="00734725"/>
    <w:rsid w:val="007349C6"/>
    <w:rsid w:val="00734DF7"/>
    <w:rsid w:val="007350C4"/>
    <w:rsid w:val="007352EC"/>
    <w:rsid w:val="007354E6"/>
    <w:rsid w:val="0073557D"/>
    <w:rsid w:val="007358FF"/>
    <w:rsid w:val="00735EE3"/>
    <w:rsid w:val="00735EEB"/>
    <w:rsid w:val="00736533"/>
    <w:rsid w:val="00736554"/>
    <w:rsid w:val="00736572"/>
    <w:rsid w:val="00736845"/>
    <w:rsid w:val="00736B0B"/>
    <w:rsid w:val="00737019"/>
    <w:rsid w:val="0073723C"/>
    <w:rsid w:val="00737316"/>
    <w:rsid w:val="00737611"/>
    <w:rsid w:val="00737822"/>
    <w:rsid w:val="00737A1E"/>
    <w:rsid w:val="00737BD9"/>
    <w:rsid w:val="00737C1C"/>
    <w:rsid w:val="00737CF4"/>
    <w:rsid w:val="00737E14"/>
    <w:rsid w:val="0074017F"/>
    <w:rsid w:val="0074028E"/>
    <w:rsid w:val="00740517"/>
    <w:rsid w:val="00740B18"/>
    <w:rsid w:val="00740E0C"/>
    <w:rsid w:val="00742076"/>
    <w:rsid w:val="007421EE"/>
    <w:rsid w:val="00742287"/>
    <w:rsid w:val="00742577"/>
    <w:rsid w:val="007426D6"/>
    <w:rsid w:val="00742E34"/>
    <w:rsid w:val="0074306F"/>
    <w:rsid w:val="00743133"/>
    <w:rsid w:val="007433C5"/>
    <w:rsid w:val="00743B51"/>
    <w:rsid w:val="00743DB6"/>
    <w:rsid w:val="00743F1F"/>
    <w:rsid w:val="00743FF7"/>
    <w:rsid w:val="007440F3"/>
    <w:rsid w:val="0074427B"/>
    <w:rsid w:val="00744653"/>
    <w:rsid w:val="00744AE6"/>
    <w:rsid w:val="00744DC4"/>
    <w:rsid w:val="00744F6B"/>
    <w:rsid w:val="007454C1"/>
    <w:rsid w:val="00745BE8"/>
    <w:rsid w:val="00745FFD"/>
    <w:rsid w:val="00746251"/>
    <w:rsid w:val="007465B1"/>
    <w:rsid w:val="00746AC9"/>
    <w:rsid w:val="00746B3B"/>
    <w:rsid w:val="00746BF3"/>
    <w:rsid w:val="00746CEB"/>
    <w:rsid w:val="00746DA9"/>
    <w:rsid w:val="00746FC4"/>
    <w:rsid w:val="00747211"/>
    <w:rsid w:val="007474C6"/>
    <w:rsid w:val="007475D9"/>
    <w:rsid w:val="0074769E"/>
    <w:rsid w:val="00747C3B"/>
    <w:rsid w:val="00747CF9"/>
    <w:rsid w:val="00747DA7"/>
    <w:rsid w:val="00747F41"/>
    <w:rsid w:val="007505EE"/>
    <w:rsid w:val="00750600"/>
    <w:rsid w:val="00750737"/>
    <w:rsid w:val="00750B9D"/>
    <w:rsid w:val="00750D22"/>
    <w:rsid w:val="00750EA2"/>
    <w:rsid w:val="00750EEC"/>
    <w:rsid w:val="007510D4"/>
    <w:rsid w:val="007513A7"/>
    <w:rsid w:val="007519CD"/>
    <w:rsid w:val="00751ECF"/>
    <w:rsid w:val="00751EEE"/>
    <w:rsid w:val="007521B0"/>
    <w:rsid w:val="00752413"/>
    <w:rsid w:val="007524C9"/>
    <w:rsid w:val="0075254D"/>
    <w:rsid w:val="007527E6"/>
    <w:rsid w:val="00752855"/>
    <w:rsid w:val="0075287F"/>
    <w:rsid w:val="00752D98"/>
    <w:rsid w:val="00752E9C"/>
    <w:rsid w:val="00752F30"/>
    <w:rsid w:val="00753069"/>
    <w:rsid w:val="0075322B"/>
    <w:rsid w:val="00753420"/>
    <w:rsid w:val="00753479"/>
    <w:rsid w:val="00753555"/>
    <w:rsid w:val="00753655"/>
    <w:rsid w:val="00753AF5"/>
    <w:rsid w:val="00753D56"/>
    <w:rsid w:val="00753F09"/>
    <w:rsid w:val="0075418A"/>
    <w:rsid w:val="0075418C"/>
    <w:rsid w:val="007541B4"/>
    <w:rsid w:val="0075430D"/>
    <w:rsid w:val="00754352"/>
    <w:rsid w:val="007545F7"/>
    <w:rsid w:val="00754738"/>
    <w:rsid w:val="00754BA7"/>
    <w:rsid w:val="00754F81"/>
    <w:rsid w:val="0075516F"/>
    <w:rsid w:val="007555A8"/>
    <w:rsid w:val="007559A0"/>
    <w:rsid w:val="00755B9F"/>
    <w:rsid w:val="00756015"/>
    <w:rsid w:val="00756019"/>
    <w:rsid w:val="007562D3"/>
    <w:rsid w:val="0075633A"/>
    <w:rsid w:val="00756416"/>
    <w:rsid w:val="007566B4"/>
    <w:rsid w:val="0075679B"/>
    <w:rsid w:val="007567F7"/>
    <w:rsid w:val="00756A85"/>
    <w:rsid w:val="00756BC1"/>
    <w:rsid w:val="00756C0A"/>
    <w:rsid w:val="00757405"/>
    <w:rsid w:val="00757C7A"/>
    <w:rsid w:val="00760028"/>
    <w:rsid w:val="007600C9"/>
    <w:rsid w:val="007603A3"/>
    <w:rsid w:val="00760633"/>
    <w:rsid w:val="00760802"/>
    <w:rsid w:val="00760E3F"/>
    <w:rsid w:val="00760F5C"/>
    <w:rsid w:val="00761190"/>
    <w:rsid w:val="0076139F"/>
    <w:rsid w:val="0076142C"/>
    <w:rsid w:val="00761699"/>
    <w:rsid w:val="00761C51"/>
    <w:rsid w:val="00761E19"/>
    <w:rsid w:val="00761EFA"/>
    <w:rsid w:val="007621FD"/>
    <w:rsid w:val="00762476"/>
    <w:rsid w:val="00762E57"/>
    <w:rsid w:val="00762FA6"/>
    <w:rsid w:val="00763020"/>
    <w:rsid w:val="00763041"/>
    <w:rsid w:val="0076304B"/>
    <w:rsid w:val="0076375E"/>
    <w:rsid w:val="00763C42"/>
    <w:rsid w:val="00763EF7"/>
    <w:rsid w:val="00764031"/>
    <w:rsid w:val="00764150"/>
    <w:rsid w:val="00764568"/>
    <w:rsid w:val="00764A05"/>
    <w:rsid w:val="00764F81"/>
    <w:rsid w:val="00765019"/>
    <w:rsid w:val="007654A2"/>
    <w:rsid w:val="0076552B"/>
    <w:rsid w:val="00765990"/>
    <w:rsid w:val="00765A43"/>
    <w:rsid w:val="00765C6A"/>
    <w:rsid w:val="00765D31"/>
    <w:rsid w:val="00765DC5"/>
    <w:rsid w:val="00765F53"/>
    <w:rsid w:val="00765F8E"/>
    <w:rsid w:val="00765FDA"/>
    <w:rsid w:val="00766179"/>
    <w:rsid w:val="0076637E"/>
    <w:rsid w:val="00766409"/>
    <w:rsid w:val="00766540"/>
    <w:rsid w:val="0076680E"/>
    <w:rsid w:val="00766C77"/>
    <w:rsid w:val="00766C98"/>
    <w:rsid w:val="00766D0C"/>
    <w:rsid w:val="00766DBE"/>
    <w:rsid w:val="00766DE9"/>
    <w:rsid w:val="00766F1D"/>
    <w:rsid w:val="007673E9"/>
    <w:rsid w:val="0076743B"/>
    <w:rsid w:val="007678B2"/>
    <w:rsid w:val="00767AAD"/>
    <w:rsid w:val="007702AA"/>
    <w:rsid w:val="00770752"/>
    <w:rsid w:val="00770C86"/>
    <w:rsid w:val="00770D49"/>
    <w:rsid w:val="00770F4C"/>
    <w:rsid w:val="00771069"/>
    <w:rsid w:val="0077140E"/>
    <w:rsid w:val="0077142B"/>
    <w:rsid w:val="00771723"/>
    <w:rsid w:val="00771B7E"/>
    <w:rsid w:val="00771B8E"/>
    <w:rsid w:val="00771C46"/>
    <w:rsid w:val="00771D77"/>
    <w:rsid w:val="00771F8B"/>
    <w:rsid w:val="007721FD"/>
    <w:rsid w:val="00772277"/>
    <w:rsid w:val="007723AA"/>
    <w:rsid w:val="007724F5"/>
    <w:rsid w:val="007725DE"/>
    <w:rsid w:val="0077287F"/>
    <w:rsid w:val="00772B7A"/>
    <w:rsid w:val="00772C9D"/>
    <w:rsid w:val="00772CB9"/>
    <w:rsid w:val="00772D72"/>
    <w:rsid w:val="00772DE6"/>
    <w:rsid w:val="00772E2F"/>
    <w:rsid w:val="00772EEC"/>
    <w:rsid w:val="00773270"/>
    <w:rsid w:val="00773453"/>
    <w:rsid w:val="007735AE"/>
    <w:rsid w:val="0077386B"/>
    <w:rsid w:val="007739FC"/>
    <w:rsid w:val="00773A8E"/>
    <w:rsid w:val="00773E06"/>
    <w:rsid w:val="007741E4"/>
    <w:rsid w:val="007742EF"/>
    <w:rsid w:val="007744AA"/>
    <w:rsid w:val="00774563"/>
    <w:rsid w:val="007746D4"/>
    <w:rsid w:val="00774E49"/>
    <w:rsid w:val="00774EAB"/>
    <w:rsid w:val="0077500E"/>
    <w:rsid w:val="00775369"/>
    <w:rsid w:val="007753B5"/>
    <w:rsid w:val="0077592F"/>
    <w:rsid w:val="00775BA2"/>
    <w:rsid w:val="00775D53"/>
    <w:rsid w:val="00776351"/>
    <w:rsid w:val="00776598"/>
    <w:rsid w:val="007767DD"/>
    <w:rsid w:val="0077684C"/>
    <w:rsid w:val="0077691A"/>
    <w:rsid w:val="00776F1E"/>
    <w:rsid w:val="0077707B"/>
    <w:rsid w:val="007770F3"/>
    <w:rsid w:val="00777133"/>
    <w:rsid w:val="0077730C"/>
    <w:rsid w:val="00777421"/>
    <w:rsid w:val="007774A0"/>
    <w:rsid w:val="007776EA"/>
    <w:rsid w:val="00777A22"/>
    <w:rsid w:val="00777A6C"/>
    <w:rsid w:val="00777AAE"/>
    <w:rsid w:val="00777BB9"/>
    <w:rsid w:val="00777C15"/>
    <w:rsid w:val="00777D68"/>
    <w:rsid w:val="00777E40"/>
    <w:rsid w:val="00777F71"/>
    <w:rsid w:val="007802AB"/>
    <w:rsid w:val="007802CC"/>
    <w:rsid w:val="0078035F"/>
    <w:rsid w:val="0078069F"/>
    <w:rsid w:val="00780E44"/>
    <w:rsid w:val="00781091"/>
    <w:rsid w:val="007810B6"/>
    <w:rsid w:val="007811E8"/>
    <w:rsid w:val="007817C0"/>
    <w:rsid w:val="00781848"/>
    <w:rsid w:val="00781C72"/>
    <w:rsid w:val="00781EA2"/>
    <w:rsid w:val="0078299C"/>
    <w:rsid w:val="00782FEE"/>
    <w:rsid w:val="00783026"/>
    <w:rsid w:val="0078311C"/>
    <w:rsid w:val="00783159"/>
    <w:rsid w:val="007832CB"/>
    <w:rsid w:val="007833B5"/>
    <w:rsid w:val="00783922"/>
    <w:rsid w:val="00783929"/>
    <w:rsid w:val="00783C46"/>
    <w:rsid w:val="00783D91"/>
    <w:rsid w:val="00783FC7"/>
    <w:rsid w:val="00784163"/>
    <w:rsid w:val="00784177"/>
    <w:rsid w:val="00784197"/>
    <w:rsid w:val="00784E18"/>
    <w:rsid w:val="007850AC"/>
    <w:rsid w:val="0078521F"/>
    <w:rsid w:val="00785769"/>
    <w:rsid w:val="00785C79"/>
    <w:rsid w:val="00785FC7"/>
    <w:rsid w:val="00786171"/>
    <w:rsid w:val="007862FD"/>
    <w:rsid w:val="0078653B"/>
    <w:rsid w:val="007865A1"/>
    <w:rsid w:val="007867AE"/>
    <w:rsid w:val="007867E8"/>
    <w:rsid w:val="007868C5"/>
    <w:rsid w:val="00786979"/>
    <w:rsid w:val="00786D7B"/>
    <w:rsid w:val="00786E65"/>
    <w:rsid w:val="00786FB0"/>
    <w:rsid w:val="0078719E"/>
    <w:rsid w:val="007875FA"/>
    <w:rsid w:val="007876E3"/>
    <w:rsid w:val="00787CCC"/>
    <w:rsid w:val="007900E7"/>
    <w:rsid w:val="00790271"/>
    <w:rsid w:val="00790385"/>
    <w:rsid w:val="007907E8"/>
    <w:rsid w:val="00790A13"/>
    <w:rsid w:val="00790B21"/>
    <w:rsid w:val="00790CDD"/>
    <w:rsid w:val="00790DEC"/>
    <w:rsid w:val="00790E97"/>
    <w:rsid w:val="00790FD7"/>
    <w:rsid w:val="0079115C"/>
    <w:rsid w:val="0079117B"/>
    <w:rsid w:val="0079138C"/>
    <w:rsid w:val="007918D8"/>
    <w:rsid w:val="00791929"/>
    <w:rsid w:val="00791942"/>
    <w:rsid w:val="00791CBB"/>
    <w:rsid w:val="00791D3C"/>
    <w:rsid w:val="00792203"/>
    <w:rsid w:val="0079221C"/>
    <w:rsid w:val="007924B5"/>
    <w:rsid w:val="00792A2E"/>
    <w:rsid w:val="00792A78"/>
    <w:rsid w:val="00792BF3"/>
    <w:rsid w:val="007931CD"/>
    <w:rsid w:val="00793290"/>
    <w:rsid w:val="0079352E"/>
    <w:rsid w:val="00793724"/>
    <w:rsid w:val="00793B16"/>
    <w:rsid w:val="00793C88"/>
    <w:rsid w:val="00793EDF"/>
    <w:rsid w:val="00794026"/>
    <w:rsid w:val="00794218"/>
    <w:rsid w:val="0079468E"/>
    <w:rsid w:val="00794736"/>
    <w:rsid w:val="00794EE5"/>
    <w:rsid w:val="00794F22"/>
    <w:rsid w:val="00794FA0"/>
    <w:rsid w:val="0079501F"/>
    <w:rsid w:val="0079502B"/>
    <w:rsid w:val="007953D3"/>
    <w:rsid w:val="007954EC"/>
    <w:rsid w:val="0079605F"/>
    <w:rsid w:val="00796422"/>
    <w:rsid w:val="0079658D"/>
    <w:rsid w:val="007965C8"/>
    <w:rsid w:val="00796A26"/>
    <w:rsid w:val="00796AA1"/>
    <w:rsid w:val="00797284"/>
    <w:rsid w:val="007972D5"/>
    <w:rsid w:val="007974E0"/>
    <w:rsid w:val="007975B3"/>
    <w:rsid w:val="007978CF"/>
    <w:rsid w:val="00797DBA"/>
    <w:rsid w:val="00797EBD"/>
    <w:rsid w:val="007A0140"/>
    <w:rsid w:val="007A0156"/>
    <w:rsid w:val="007A058A"/>
    <w:rsid w:val="007A0893"/>
    <w:rsid w:val="007A0B78"/>
    <w:rsid w:val="007A0BF7"/>
    <w:rsid w:val="007A0C25"/>
    <w:rsid w:val="007A0C5D"/>
    <w:rsid w:val="007A0E4B"/>
    <w:rsid w:val="007A0E77"/>
    <w:rsid w:val="007A1346"/>
    <w:rsid w:val="007A1D1D"/>
    <w:rsid w:val="007A1D8B"/>
    <w:rsid w:val="007A1DDA"/>
    <w:rsid w:val="007A25AE"/>
    <w:rsid w:val="007A25ED"/>
    <w:rsid w:val="007A2614"/>
    <w:rsid w:val="007A2627"/>
    <w:rsid w:val="007A2895"/>
    <w:rsid w:val="007A2E65"/>
    <w:rsid w:val="007A30F4"/>
    <w:rsid w:val="007A34DE"/>
    <w:rsid w:val="007A3B6A"/>
    <w:rsid w:val="007A3C41"/>
    <w:rsid w:val="007A3C87"/>
    <w:rsid w:val="007A3D21"/>
    <w:rsid w:val="007A3D97"/>
    <w:rsid w:val="007A3E75"/>
    <w:rsid w:val="007A4381"/>
    <w:rsid w:val="007A43B7"/>
    <w:rsid w:val="007A4476"/>
    <w:rsid w:val="007A4630"/>
    <w:rsid w:val="007A46FE"/>
    <w:rsid w:val="007A4B04"/>
    <w:rsid w:val="007A4C3C"/>
    <w:rsid w:val="007A4D41"/>
    <w:rsid w:val="007A511A"/>
    <w:rsid w:val="007A52A2"/>
    <w:rsid w:val="007A541D"/>
    <w:rsid w:val="007A58AD"/>
    <w:rsid w:val="007A5908"/>
    <w:rsid w:val="007A5B13"/>
    <w:rsid w:val="007A5E65"/>
    <w:rsid w:val="007A5FDE"/>
    <w:rsid w:val="007A6396"/>
    <w:rsid w:val="007A644F"/>
    <w:rsid w:val="007A6AE1"/>
    <w:rsid w:val="007A6B29"/>
    <w:rsid w:val="007A6B85"/>
    <w:rsid w:val="007A6D69"/>
    <w:rsid w:val="007A6F25"/>
    <w:rsid w:val="007A70F3"/>
    <w:rsid w:val="007A72EE"/>
    <w:rsid w:val="007A73BD"/>
    <w:rsid w:val="007A7774"/>
    <w:rsid w:val="007A7B5D"/>
    <w:rsid w:val="007A7DBA"/>
    <w:rsid w:val="007A7DF1"/>
    <w:rsid w:val="007A7FA6"/>
    <w:rsid w:val="007A7FC9"/>
    <w:rsid w:val="007B02EB"/>
    <w:rsid w:val="007B02FC"/>
    <w:rsid w:val="007B049E"/>
    <w:rsid w:val="007B0B5D"/>
    <w:rsid w:val="007B0ECB"/>
    <w:rsid w:val="007B0F0A"/>
    <w:rsid w:val="007B106A"/>
    <w:rsid w:val="007B1E35"/>
    <w:rsid w:val="007B1E91"/>
    <w:rsid w:val="007B239B"/>
    <w:rsid w:val="007B2843"/>
    <w:rsid w:val="007B2909"/>
    <w:rsid w:val="007B2BE2"/>
    <w:rsid w:val="007B2C65"/>
    <w:rsid w:val="007B2D01"/>
    <w:rsid w:val="007B2EDA"/>
    <w:rsid w:val="007B3253"/>
    <w:rsid w:val="007B3762"/>
    <w:rsid w:val="007B3AD6"/>
    <w:rsid w:val="007B3E4A"/>
    <w:rsid w:val="007B3F8B"/>
    <w:rsid w:val="007B3F9D"/>
    <w:rsid w:val="007B4016"/>
    <w:rsid w:val="007B41F8"/>
    <w:rsid w:val="007B4365"/>
    <w:rsid w:val="007B43F8"/>
    <w:rsid w:val="007B4591"/>
    <w:rsid w:val="007B46B3"/>
    <w:rsid w:val="007B46D3"/>
    <w:rsid w:val="007B4735"/>
    <w:rsid w:val="007B4851"/>
    <w:rsid w:val="007B48A4"/>
    <w:rsid w:val="007B49BF"/>
    <w:rsid w:val="007B4AA0"/>
    <w:rsid w:val="007B4AE2"/>
    <w:rsid w:val="007B4B92"/>
    <w:rsid w:val="007B4DF9"/>
    <w:rsid w:val="007B4F9A"/>
    <w:rsid w:val="007B520A"/>
    <w:rsid w:val="007B555F"/>
    <w:rsid w:val="007B5B6E"/>
    <w:rsid w:val="007B5C7B"/>
    <w:rsid w:val="007B5D98"/>
    <w:rsid w:val="007B617B"/>
    <w:rsid w:val="007B654E"/>
    <w:rsid w:val="007B6892"/>
    <w:rsid w:val="007B69F4"/>
    <w:rsid w:val="007B6B9B"/>
    <w:rsid w:val="007B6EF5"/>
    <w:rsid w:val="007B79A6"/>
    <w:rsid w:val="007B7B47"/>
    <w:rsid w:val="007B7C2B"/>
    <w:rsid w:val="007B7D22"/>
    <w:rsid w:val="007B7E74"/>
    <w:rsid w:val="007B7F88"/>
    <w:rsid w:val="007C0012"/>
    <w:rsid w:val="007C0149"/>
    <w:rsid w:val="007C04C7"/>
    <w:rsid w:val="007C05AB"/>
    <w:rsid w:val="007C0DD4"/>
    <w:rsid w:val="007C0E4D"/>
    <w:rsid w:val="007C1234"/>
    <w:rsid w:val="007C123E"/>
    <w:rsid w:val="007C126B"/>
    <w:rsid w:val="007C145F"/>
    <w:rsid w:val="007C15DC"/>
    <w:rsid w:val="007C1748"/>
    <w:rsid w:val="007C1C78"/>
    <w:rsid w:val="007C1DCF"/>
    <w:rsid w:val="007C270A"/>
    <w:rsid w:val="007C27DB"/>
    <w:rsid w:val="007C2989"/>
    <w:rsid w:val="007C2C20"/>
    <w:rsid w:val="007C2CA3"/>
    <w:rsid w:val="007C2FFE"/>
    <w:rsid w:val="007C33AB"/>
    <w:rsid w:val="007C36E3"/>
    <w:rsid w:val="007C390F"/>
    <w:rsid w:val="007C3C56"/>
    <w:rsid w:val="007C3EC7"/>
    <w:rsid w:val="007C40A7"/>
    <w:rsid w:val="007C4472"/>
    <w:rsid w:val="007C45E6"/>
    <w:rsid w:val="007C48E2"/>
    <w:rsid w:val="007C4A07"/>
    <w:rsid w:val="007C4A5F"/>
    <w:rsid w:val="007C4A82"/>
    <w:rsid w:val="007C50B6"/>
    <w:rsid w:val="007C526F"/>
    <w:rsid w:val="007C5536"/>
    <w:rsid w:val="007C5807"/>
    <w:rsid w:val="007C59CE"/>
    <w:rsid w:val="007C5A8C"/>
    <w:rsid w:val="007C5B93"/>
    <w:rsid w:val="007C5C16"/>
    <w:rsid w:val="007C5CD7"/>
    <w:rsid w:val="007C6143"/>
    <w:rsid w:val="007C62A9"/>
    <w:rsid w:val="007C62DB"/>
    <w:rsid w:val="007C62F8"/>
    <w:rsid w:val="007C6574"/>
    <w:rsid w:val="007C65BD"/>
    <w:rsid w:val="007C65EA"/>
    <w:rsid w:val="007C6646"/>
    <w:rsid w:val="007C6652"/>
    <w:rsid w:val="007C6802"/>
    <w:rsid w:val="007C6A07"/>
    <w:rsid w:val="007C7227"/>
    <w:rsid w:val="007C743C"/>
    <w:rsid w:val="007C74F8"/>
    <w:rsid w:val="007C7766"/>
    <w:rsid w:val="007C794B"/>
    <w:rsid w:val="007C7CCF"/>
    <w:rsid w:val="007C7EAE"/>
    <w:rsid w:val="007C7EFD"/>
    <w:rsid w:val="007D00D2"/>
    <w:rsid w:val="007D06E0"/>
    <w:rsid w:val="007D0788"/>
    <w:rsid w:val="007D0803"/>
    <w:rsid w:val="007D11A3"/>
    <w:rsid w:val="007D176B"/>
    <w:rsid w:val="007D19A5"/>
    <w:rsid w:val="007D1C6F"/>
    <w:rsid w:val="007D1D29"/>
    <w:rsid w:val="007D20BA"/>
    <w:rsid w:val="007D224F"/>
    <w:rsid w:val="007D259B"/>
    <w:rsid w:val="007D2633"/>
    <w:rsid w:val="007D26C8"/>
    <w:rsid w:val="007D2994"/>
    <w:rsid w:val="007D2AF4"/>
    <w:rsid w:val="007D2C0A"/>
    <w:rsid w:val="007D2CFA"/>
    <w:rsid w:val="007D3337"/>
    <w:rsid w:val="007D33F0"/>
    <w:rsid w:val="007D368B"/>
    <w:rsid w:val="007D3948"/>
    <w:rsid w:val="007D3B7C"/>
    <w:rsid w:val="007D404F"/>
    <w:rsid w:val="007D41D9"/>
    <w:rsid w:val="007D441E"/>
    <w:rsid w:val="007D45A9"/>
    <w:rsid w:val="007D463D"/>
    <w:rsid w:val="007D46C3"/>
    <w:rsid w:val="007D47CE"/>
    <w:rsid w:val="007D4984"/>
    <w:rsid w:val="007D4AA5"/>
    <w:rsid w:val="007D52C4"/>
    <w:rsid w:val="007D52F6"/>
    <w:rsid w:val="007D5394"/>
    <w:rsid w:val="007D5556"/>
    <w:rsid w:val="007D5F75"/>
    <w:rsid w:val="007D608D"/>
    <w:rsid w:val="007D6217"/>
    <w:rsid w:val="007D621B"/>
    <w:rsid w:val="007D62FD"/>
    <w:rsid w:val="007D6426"/>
    <w:rsid w:val="007D6545"/>
    <w:rsid w:val="007D6803"/>
    <w:rsid w:val="007D6A2C"/>
    <w:rsid w:val="007D6A8D"/>
    <w:rsid w:val="007D6C07"/>
    <w:rsid w:val="007D6DFB"/>
    <w:rsid w:val="007D6E20"/>
    <w:rsid w:val="007D6E65"/>
    <w:rsid w:val="007D7150"/>
    <w:rsid w:val="007D7212"/>
    <w:rsid w:val="007D7658"/>
    <w:rsid w:val="007D7988"/>
    <w:rsid w:val="007D7BAC"/>
    <w:rsid w:val="007D7C1E"/>
    <w:rsid w:val="007D7D2F"/>
    <w:rsid w:val="007E01BD"/>
    <w:rsid w:val="007E0231"/>
    <w:rsid w:val="007E024D"/>
    <w:rsid w:val="007E0448"/>
    <w:rsid w:val="007E0DF9"/>
    <w:rsid w:val="007E0E4C"/>
    <w:rsid w:val="007E0FC5"/>
    <w:rsid w:val="007E1247"/>
    <w:rsid w:val="007E1772"/>
    <w:rsid w:val="007E1ADD"/>
    <w:rsid w:val="007E1F02"/>
    <w:rsid w:val="007E2153"/>
    <w:rsid w:val="007E24C5"/>
    <w:rsid w:val="007E3010"/>
    <w:rsid w:val="007E33DC"/>
    <w:rsid w:val="007E355C"/>
    <w:rsid w:val="007E3609"/>
    <w:rsid w:val="007E3866"/>
    <w:rsid w:val="007E3BD8"/>
    <w:rsid w:val="007E4025"/>
    <w:rsid w:val="007E4082"/>
    <w:rsid w:val="007E40A9"/>
    <w:rsid w:val="007E4548"/>
    <w:rsid w:val="007E460D"/>
    <w:rsid w:val="007E47C2"/>
    <w:rsid w:val="007E47D2"/>
    <w:rsid w:val="007E48C5"/>
    <w:rsid w:val="007E4A9C"/>
    <w:rsid w:val="007E4AA1"/>
    <w:rsid w:val="007E4B4E"/>
    <w:rsid w:val="007E4B91"/>
    <w:rsid w:val="007E4E5E"/>
    <w:rsid w:val="007E4E65"/>
    <w:rsid w:val="007E4E78"/>
    <w:rsid w:val="007E4F9E"/>
    <w:rsid w:val="007E4FAE"/>
    <w:rsid w:val="007E5123"/>
    <w:rsid w:val="007E51D4"/>
    <w:rsid w:val="007E5490"/>
    <w:rsid w:val="007E55BB"/>
    <w:rsid w:val="007E58A4"/>
    <w:rsid w:val="007E59FB"/>
    <w:rsid w:val="007E5B3E"/>
    <w:rsid w:val="007E64CC"/>
    <w:rsid w:val="007E6AAB"/>
    <w:rsid w:val="007E6EC7"/>
    <w:rsid w:val="007E6F08"/>
    <w:rsid w:val="007E73EE"/>
    <w:rsid w:val="007E76F8"/>
    <w:rsid w:val="007E7717"/>
    <w:rsid w:val="007E7A2A"/>
    <w:rsid w:val="007E7D4A"/>
    <w:rsid w:val="007E7E54"/>
    <w:rsid w:val="007E7F49"/>
    <w:rsid w:val="007F0049"/>
    <w:rsid w:val="007F009D"/>
    <w:rsid w:val="007F03C3"/>
    <w:rsid w:val="007F094D"/>
    <w:rsid w:val="007F09AC"/>
    <w:rsid w:val="007F0A09"/>
    <w:rsid w:val="007F0A96"/>
    <w:rsid w:val="007F0ACB"/>
    <w:rsid w:val="007F0B30"/>
    <w:rsid w:val="007F0B43"/>
    <w:rsid w:val="007F14BA"/>
    <w:rsid w:val="007F14F9"/>
    <w:rsid w:val="007F18C7"/>
    <w:rsid w:val="007F1996"/>
    <w:rsid w:val="007F1B0C"/>
    <w:rsid w:val="007F1D41"/>
    <w:rsid w:val="007F2094"/>
    <w:rsid w:val="007F2109"/>
    <w:rsid w:val="007F231D"/>
    <w:rsid w:val="007F2502"/>
    <w:rsid w:val="007F25C2"/>
    <w:rsid w:val="007F269F"/>
    <w:rsid w:val="007F29DB"/>
    <w:rsid w:val="007F2E9C"/>
    <w:rsid w:val="007F2EA0"/>
    <w:rsid w:val="007F3154"/>
    <w:rsid w:val="007F319D"/>
    <w:rsid w:val="007F3AF9"/>
    <w:rsid w:val="007F4192"/>
    <w:rsid w:val="007F419D"/>
    <w:rsid w:val="007F4271"/>
    <w:rsid w:val="007F4704"/>
    <w:rsid w:val="007F4777"/>
    <w:rsid w:val="007F4AC7"/>
    <w:rsid w:val="007F4BEB"/>
    <w:rsid w:val="007F4D40"/>
    <w:rsid w:val="007F4F8A"/>
    <w:rsid w:val="007F515A"/>
    <w:rsid w:val="007F52E0"/>
    <w:rsid w:val="007F582A"/>
    <w:rsid w:val="007F5941"/>
    <w:rsid w:val="007F5AD0"/>
    <w:rsid w:val="007F5B44"/>
    <w:rsid w:val="007F6193"/>
    <w:rsid w:val="007F61E1"/>
    <w:rsid w:val="007F62EC"/>
    <w:rsid w:val="007F646C"/>
    <w:rsid w:val="007F6493"/>
    <w:rsid w:val="007F64D6"/>
    <w:rsid w:val="007F6945"/>
    <w:rsid w:val="007F6977"/>
    <w:rsid w:val="007F6A96"/>
    <w:rsid w:val="007F7063"/>
    <w:rsid w:val="007F747F"/>
    <w:rsid w:val="007F75DC"/>
    <w:rsid w:val="007F7717"/>
    <w:rsid w:val="007F79C9"/>
    <w:rsid w:val="007F79CC"/>
    <w:rsid w:val="007F79DE"/>
    <w:rsid w:val="007F7A57"/>
    <w:rsid w:val="007F7AED"/>
    <w:rsid w:val="007F7C3B"/>
    <w:rsid w:val="00800020"/>
    <w:rsid w:val="00800830"/>
    <w:rsid w:val="00800912"/>
    <w:rsid w:val="008009ED"/>
    <w:rsid w:val="00800B20"/>
    <w:rsid w:val="00800BA4"/>
    <w:rsid w:val="0080109F"/>
    <w:rsid w:val="0080127B"/>
    <w:rsid w:val="0080133A"/>
    <w:rsid w:val="00801519"/>
    <w:rsid w:val="008016C9"/>
    <w:rsid w:val="00801860"/>
    <w:rsid w:val="00801A9B"/>
    <w:rsid w:val="008022FF"/>
    <w:rsid w:val="00802397"/>
    <w:rsid w:val="008027C1"/>
    <w:rsid w:val="00802841"/>
    <w:rsid w:val="0080286E"/>
    <w:rsid w:val="00802A9A"/>
    <w:rsid w:val="00802BF1"/>
    <w:rsid w:val="00802E46"/>
    <w:rsid w:val="00802F70"/>
    <w:rsid w:val="008031F0"/>
    <w:rsid w:val="0080346F"/>
    <w:rsid w:val="00803AD2"/>
    <w:rsid w:val="00803CEC"/>
    <w:rsid w:val="00803CF4"/>
    <w:rsid w:val="00803EDE"/>
    <w:rsid w:val="008040AC"/>
    <w:rsid w:val="00804203"/>
    <w:rsid w:val="00804443"/>
    <w:rsid w:val="00804672"/>
    <w:rsid w:val="00804A20"/>
    <w:rsid w:val="00804A9F"/>
    <w:rsid w:val="00804DA8"/>
    <w:rsid w:val="008050BA"/>
    <w:rsid w:val="0080521A"/>
    <w:rsid w:val="00805901"/>
    <w:rsid w:val="00805B81"/>
    <w:rsid w:val="008060D6"/>
    <w:rsid w:val="00806332"/>
    <w:rsid w:val="00806374"/>
    <w:rsid w:val="008064B1"/>
    <w:rsid w:val="008065D7"/>
    <w:rsid w:val="00806B00"/>
    <w:rsid w:val="00806BD9"/>
    <w:rsid w:val="00806BE4"/>
    <w:rsid w:val="00806C07"/>
    <w:rsid w:val="00806C50"/>
    <w:rsid w:val="00807148"/>
    <w:rsid w:val="0080745F"/>
    <w:rsid w:val="0080764D"/>
    <w:rsid w:val="0080768A"/>
    <w:rsid w:val="008079C2"/>
    <w:rsid w:val="008100CE"/>
    <w:rsid w:val="008105F4"/>
    <w:rsid w:val="008108EC"/>
    <w:rsid w:val="00810A29"/>
    <w:rsid w:val="00810B71"/>
    <w:rsid w:val="00810B96"/>
    <w:rsid w:val="00810D31"/>
    <w:rsid w:val="0081128B"/>
    <w:rsid w:val="008112F3"/>
    <w:rsid w:val="00811506"/>
    <w:rsid w:val="0081153D"/>
    <w:rsid w:val="0081189C"/>
    <w:rsid w:val="0081192A"/>
    <w:rsid w:val="00811C00"/>
    <w:rsid w:val="00811E3E"/>
    <w:rsid w:val="0081210D"/>
    <w:rsid w:val="00812115"/>
    <w:rsid w:val="00812195"/>
    <w:rsid w:val="008121D6"/>
    <w:rsid w:val="008126C4"/>
    <w:rsid w:val="008127F5"/>
    <w:rsid w:val="00812948"/>
    <w:rsid w:val="00812DAF"/>
    <w:rsid w:val="00812E28"/>
    <w:rsid w:val="00813121"/>
    <w:rsid w:val="00813447"/>
    <w:rsid w:val="00813803"/>
    <w:rsid w:val="00813A6B"/>
    <w:rsid w:val="00813B31"/>
    <w:rsid w:val="00813BB9"/>
    <w:rsid w:val="00813BBA"/>
    <w:rsid w:val="00813D91"/>
    <w:rsid w:val="0081458E"/>
    <w:rsid w:val="008145B8"/>
    <w:rsid w:val="00814762"/>
    <w:rsid w:val="008147ED"/>
    <w:rsid w:val="00814874"/>
    <w:rsid w:val="00814AE7"/>
    <w:rsid w:val="00814B5E"/>
    <w:rsid w:val="00814C06"/>
    <w:rsid w:val="00814C7F"/>
    <w:rsid w:val="008153E6"/>
    <w:rsid w:val="00815965"/>
    <w:rsid w:val="008160EF"/>
    <w:rsid w:val="00816527"/>
    <w:rsid w:val="00816703"/>
    <w:rsid w:val="0081688B"/>
    <w:rsid w:val="00816898"/>
    <w:rsid w:val="00816911"/>
    <w:rsid w:val="00816DF7"/>
    <w:rsid w:val="00816F50"/>
    <w:rsid w:val="008170E9"/>
    <w:rsid w:val="008170ED"/>
    <w:rsid w:val="008176CD"/>
    <w:rsid w:val="0081777E"/>
    <w:rsid w:val="008177B9"/>
    <w:rsid w:val="008178BC"/>
    <w:rsid w:val="008179B5"/>
    <w:rsid w:val="00817F8E"/>
    <w:rsid w:val="0082048C"/>
    <w:rsid w:val="0082092F"/>
    <w:rsid w:val="00820CFB"/>
    <w:rsid w:val="00820D74"/>
    <w:rsid w:val="00820DA3"/>
    <w:rsid w:val="00820E73"/>
    <w:rsid w:val="008210FC"/>
    <w:rsid w:val="0082111D"/>
    <w:rsid w:val="008213B4"/>
    <w:rsid w:val="00821548"/>
    <w:rsid w:val="00821575"/>
    <w:rsid w:val="008215B8"/>
    <w:rsid w:val="008215C2"/>
    <w:rsid w:val="00821856"/>
    <w:rsid w:val="00821DFD"/>
    <w:rsid w:val="00821F67"/>
    <w:rsid w:val="00822108"/>
    <w:rsid w:val="0082220B"/>
    <w:rsid w:val="00822471"/>
    <w:rsid w:val="0082292F"/>
    <w:rsid w:val="00822A07"/>
    <w:rsid w:val="00822B30"/>
    <w:rsid w:val="00822C3F"/>
    <w:rsid w:val="00822C76"/>
    <w:rsid w:val="00822D91"/>
    <w:rsid w:val="00823025"/>
    <w:rsid w:val="00823045"/>
    <w:rsid w:val="00823185"/>
    <w:rsid w:val="008231E6"/>
    <w:rsid w:val="008232CE"/>
    <w:rsid w:val="008234FD"/>
    <w:rsid w:val="008237B8"/>
    <w:rsid w:val="00823CBA"/>
    <w:rsid w:val="00823E88"/>
    <w:rsid w:val="00823FF8"/>
    <w:rsid w:val="0082420C"/>
    <w:rsid w:val="008243C7"/>
    <w:rsid w:val="00824406"/>
    <w:rsid w:val="00824453"/>
    <w:rsid w:val="008245CD"/>
    <w:rsid w:val="008246AE"/>
    <w:rsid w:val="00824787"/>
    <w:rsid w:val="00824BCE"/>
    <w:rsid w:val="00824C3C"/>
    <w:rsid w:val="00824D34"/>
    <w:rsid w:val="00825492"/>
    <w:rsid w:val="00825A0F"/>
    <w:rsid w:val="00825AA9"/>
    <w:rsid w:val="00825D71"/>
    <w:rsid w:val="0082652B"/>
    <w:rsid w:val="0082665D"/>
    <w:rsid w:val="00826D23"/>
    <w:rsid w:val="00826FA9"/>
    <w:rsid w:val="0082715C"/>
    <w:rsid w:val="0082773F"/>
    <w:rsid w:val="00827755"/>
    <w:rsid w:val="00827B36"/>
    <w:rsid w:val="00827D38"/>
    <w:rsid w:val="00830BE1"/>
    <w:rsid w:val="00830D2A"/>
    <w:rsid w:val="008317E0"/>
    <w:rsid w:val="0083202E"/>
    <w:rsid w:val="00832251"/>
    <w:rsid w:val="008322A1"/>
    <w:rsid w:val="008328AD"/>
    <w:rsid w:val="00832923"/>
    <w:rsid w:val="008329D5"/>
    <w:rsid w:val="00832B7C"/>
    <w:rsid w:val="00832CB3"/>
    <w:rsid w:val="00832CB6"/>
    <w:rsid w:val="00832D7A"/>
    <w:rsid w:val="00832EAE"/>
    <w:rsid w:val="008331C0"/>
    <w:rsid w:val="008333FD"/>
    <w:rsid w:val="0083420B"/>
    <w:rsid w:val="00834479"/>
    <w:rsid w:val="0083449D"/>
    <w:rsid w:val="00834690"/>
    <w:rsid w:val="0083489B"/>
    <w:rsid w:val="00834AB2"/>
    <w:rsid w:val="00834FFD"/>
    <w:rsid w:val="00835005"/>
    <w:rsid w:val="0083502F"/>
    <w:rsid w:val="00835175"/>
    <w:rsid w:val="008351B8"/>
    <w:rsid w:val="008356DB"/>
    <w:rsid w:val="0083582D"/>
    <w:rsid w:val="00835907"/>
    <w:rsid w:val="00835935"/>
    <w:rsid w:val="00835B65"/>
    <w:rsid w:val="00835CCF"/>
    <w:rsid w:val="0083601A"/>
    <w:rsid w:val="0083631A"/>
    <w:rsid w:val="008365AF"/>
    <w:rsid w:val="00836714"/>
    <w:rsid w:val="00836727"/>
    <w:rsid w:val="0083676F"/>
    <w:rsid w:val="00836A2C"/>
    <w:rsid w:val="00836B87"/>
    <w:rsid w:val="0083761C"/>
    <w:rsid w:val="0083763C"/>
    <w:rsid w:val="008377CC"/>
    <w:rsid w:val="008378FF"/>
    <w:rsid w:val="00837C01"/>
    <w:rsid w:val="00837C11"/>
    <w:rsid w:val="00837F68"/>
    <w:rsid w:val="00837FEC"/>
    <w:rsid w:val="00840313"/>
    <w:rsid w:val="00840355"/>
    <w:rsid w:val="008403EE"/>
    <w:rsid w:val="00840607"/>
    <w:rsid w:val="00840723"/>
    <w:rsid w:val="0084097B"/>
    <w:rsid w:val="00840B27"/>
    <w:rsid w:val="00840D69"/>
    <w:rsid w:val="00840DDA"/>
    <w:rsid w:val="008410BD"/>
    <w:rsid w:val="0084172A"/>
    <w:rsid w:val="00841A64"/>
    <w:rsid w:val="00841B5F"/>
    <w:rsid w:val="00841BA9"/>
    <w:rsid w:val="00841F5A"/>
    <w:rsid w:val="00842567"/>
    <w:rsid w:val="008425C1"/>
    <w:rsid w:val="008425D6"/>
    <w:rsid w:val="0084278C"/>
    <w:rsid w:val="00842A1F"/>
    <w:rsid w:val="00842A66"/>
    <w:rsid w:val="00842F10"/>
    <w:rsid w:val="00843354"/>
    <w:rsid w:val="008434A2"/>
    <w:rsid w:val="008434F6"/>
    <w:rsid w:val="008435B6"/>
    <w:rsid w:val="008435CB"/>
    <w:rsid w:val="0084362B"/>
    <w:rsid w:val="00843815"/>
    <w:rsid w:val="00843A62"/>
    <w:rsid w:val="00843AA2"/>
    <w:rsid w:val="00843B63"/>
    <w:rsid w:val="00843D37"/>
    <w:rsid w:val="008441C1"/>
    <w:rsid w:val="008443A3"/>
    <w:rsid w:val="008446C4"/>
    <w:rsid w:val="00844A09"/>
    <w:rsid w:val="00845B40"/>
    <w:rsid w:val="00845D4F"/>
    <w:rsid w:val="00845EF8"/>
    <w:rsid w:val="008460E6"/>
    <w:rsid w:val="008462DE"/>
    <w:rsid w:val="00846359"/>
    <w:rsid w:val="0084657A"/>
    <w:rsid w:val="00846651"/>
    <w:rsid w:val="00846887"/>
    <w:rsid w:val="00846968"/>
    <w:rsid w:val="00846D07"/>
    <w:rsid w:val="008471FC"/>
    <w:rsid w:val="00847252"/>
    <w:rsid w:val="00847253"/>
    <w:rsid w:val="00847597"/>
    <w:rsid w:val="00847627"/>
    <w:rsid w:val="0084779A"/>
    <w:rsid w:val="008478B6"/>
    <w:rsid w:val="0085000E"/>
    <w:rsid w:val="00850154"/>
    <w:rsid w:val="0085017C"/>
    <w:rsid w:val="00850472"/>
    <w:rsid w:val="0085057C"/>
    <w:rsid w:val="008508DA"/>
    <w:rsid w:val="008511C7"/>
    <w:rsid w:val="008519E7"/>
    <w:rsid w:val="00851D47"/>
    <w:rsid w:val="00851DD5"/>
    <w:rsid w:val="00851F72"/>
    <w:rsid w:val="0085203F"/>
    <w:rsid w:val="00852437"/>
    <w:rsid w:val="00852640"/>
    <w:rsid w:val="00852769"/>
    <w:rsid w:val="00852796"/>
    <w:rsid w:val="008528CE"/>
    <w:rsid w:val="00852BFF"/>
    <w:rsid w:val="00852E7B"/>
    <w:rsid w:val="00853054"/>
    <w:rsid w:val="008532A3"/>
    <w:rsid w:val="008535AC"/>
    <w:rsid w:val="008536BC"/>
    <w:rsid w:val="00853799"/>
    <w:rsid w:val="008537A0"/>
    <w:rsid w:val="00853823"/>
    <w:rsid w:val="00853B01"/>
    <w:rsid w:val="00853C5D"/>
    <w:rsid w:val="00853D4D"/>
    <w:rsid w:val="008540AF"/>
    <w:rsid w:val="00854255"/>
    <w:rsid w:val="0085433B"/>
    <w:rsid w:val="0085463E"/>
    <w:rsid w:val="00854689"/>
    <w:rsid w:val="0085480B"/>
    <w:rsid w:val="00854C09"/>
    <w:rsid w:val="00854D2C"/>
    <w:rsid w:val="00854ED6"/>
    <w:rsid w:val="00854F07"/>
    <w:rsid w:val="00855C39"/>
    <w:rsid w:val="00855D64"/>
    <w:rsid w:val="00855E39"/>
    <w:rsid w:val="008560C1"/>
    <w:rsid w:val="00856695"/>
    <w:rsid w:val="00856742"/>
    <w:rsid w:val="00856A96"/>
    <w:rsid w:val="0085702B"/>
    <w:rsid w:val="0085726B"/>
    <w:rsid w:val="008572FE"/>
    <w:rsid w:val="0085731A"/>
    <w:rsid w:val="008573CD"/>
    <w:rsid w:val="008573F2"/>
    <w:rsid w:val="008576FB"/>
    <w:rsid w:val="00857CED"/>
    <w:rsid w:val="008600A8"/>
    <w:rsid w:val="00860143"/>
    <w:rsid w:val="008602D6"/>
    <w:rsid w:val="0086037C"/>
    <w:rsid w:val="008604C5"/>
    <w:rsid w:val="008608C1"/>
    <w:rsid w:val="0086097C"/>
    <w:rsid w:val="00860A7F"/>
    <w:rsid w:val="00860C1B"/>
    <w:rsid w:val="00860D5F"/>
    <w:rsid w:val="00860F7C"/>
    <w:rsid w:val="00861042"/>
    <w:rsid w:val="008614B0"/>
    <w:rsid w:val="00861657"/>
    <w:rsid w:val="0086181E"/>
    <w:rsid w:val="00861863"/>
    <w:rsid w:val="008618AE"/>
    <w:rsid w:val="00861962"/>
    <w:rsid w:val="00861CDB"/>
    <w:rsid w:val="008620E1"/>
    <w:rsid w:val="00862355"/>
    <w:rsid w:val="00862721"/>
    <w:rsid w:val="00862921"/>
    <w:rsid w:val="008629C1"/>
    <w:rsid w:val="00862B90"/>
    <w:rsid w:val="00862D48"/>
    <w:rsid w:val="00862D74"/>
    <w:rsid w:val="00862DC7"/>
    <w:rsid w:val="00862F3A"/>
    <w:rsid w:val="0086342A"/>
    <w:rsid w:val="008635C5"/>
    <w:rsid w:val="00863707"/>
    <w:rsid w:val="0086404D"/>
    <w:rsid w:val="00864449"/>
    <w:rsid w:val="00864702"/>
    <w:rsid w:val="008647B4"/>
    <w:rsid w:val="00864848"/>
    <w:rsid w:val="00864ACF"/>
    <w:rsid w:val="00864B7F"/>
    <w:rsid w:val="00864F40"/>
    <w:rsid w:val="00864FFD"/>
    <w:rsid w:val="0086501A"/>
    <w:rsid w:val="00865865"/>
    <w:rsid w:val="00865874"/>
    <w:rsid w:val="00865C70"/>
    <w:rsid w:val="00865CF5"/>
    <w:rsid w:val="00866254"/>
    <w:rsid w:val="0086680C"/>
    <w:rsid w:val="00866C83"/>
    <w:rsid w:val="00866E81"/>
    <w:rsid w:val="00866F05"/>
    <w:rsid w:val="0086713C"/>
    <w:rsid w:val="00867255"/>
    <w:rsid w:val="00867812"/>
    <w:rsid w:val="00867B05"/>
    <w:rsid w:val="00867B7F"/>
    <w:rsid w:val="00867E94"/>
    <w:rsid w:val="00870072"/>
    <w:rsid w:val="00870407"/>
    <w:rsid w:val="008706E3"/>
    <w:rsid w:val="00870A41"/>
    <w:rsid w:val="00870F9E"/>
    <w:rsid w:val="008714F2"/>
    <w:rsid w:val="00871936"/>
    <w:rsid w:val="0087209F"/>
    <w:rsid w:val="0087221F"/>
    <w:rsid w:val="0087290F"/>
    <w:rsid w:val="008729C2"/>
    <w:rsid w:val="00872CC6"/>
    <w:rsid w:val="00873149"/>
    <w:rsid w:val="00873289"/>
    <w:rsid w:val="008732E1"/>
    <w:rsid w:val="00873380"/>
    <w:rsid w:val="008734B2"/>
    <w:rsid w:val="008737F1"/>
    <w:rsid w:val="008739F4"/>
    <w:rsid w:val="00873C3C"/>
    <w:rsid w:val="00873CA3"/>
    <w:rsid w:val="00874034"/>
    <w:rsid w:val="0087479F"/>
    <w:rsid w:val="0087483C"/>
    <w:rsid w:val="00874A3F"/>
    <w:rsid w:val="00874A71"/>
    <w:rsid w:val="00874AF6"/>
    <w:rsid w:val="00874BD2"/>
    <w:rsid w:val="00874BE1"/>
    <w:rsid w:val="00874D9C"/>
    <w:rsid w:val="008752CA"/>
    <w:rsid w:val="008753C2"/>
    <w:rsid w:val="008753E1"/>
    <w:rsid w:val="0087541B"/>
    <w:rsid w:val="00875547"/>
    <w:rsid w:val="00875B78"/>
    <w:rsid w:val="00875C36"/>
    <w:rsid w:val="00876054"/>
    <w:rsid w:val="00876082"/>
    <w:rsid w:val="0087635B"/>
    <w:rsid w:val="00876B2A"/>
    <w:rsid w:val="00876D19"/>
    <w:rsid w:val="008775E6"/>
    <w:rsid w:val="0087764D"/>
    <w:rsid w:val="008777F9"/>
    <w:rsid w:val="00877908"/>
    <w:rsid w:val="00877BA4"/>
    <w:rsid w:val="00877C3E"/>
    <w:rsid w:val="008800D2"/>
    <w:rsid w:val="008803D6"/>
    <w:rsid w:val="008804FD"/>
    <w:rsid w:val="008805F1"/>
    <w:rsid w:val="00880F3E"/>
    <w:rsid w:val="00881323"/>
    <w:rsid w:val="0088135B"/>
    <w:rsid w:val="00881406"/>
    <w:rsid w:val="00881749"/>
    <w:rsid w:val="0088191C"/>
    <w:rsid w:val="00881B73"/>
    <w:rsid w:val="00881F6F"/>
    <w:rsid w:val="00881F91"/>
    <w:rsid w:val="0088219A"/>
    <w:rsid w:val="00882CB8"/>
    <w:rsid w:val="00882FD3"/>
    <w:rsid w:val="00883097"/>
    <w:rsid w:val="0088349D"/>
    <w:rsid w:val="00883729"/>
    <w:rsid w:val="00883929"/>
    <w:rsid w:val="00883AC1"/>
    <w:rsid w:val="00883B81"/>
    <w:rsid w:val="008840DA"/>
    <w:rsid w:val="008847A8"/>
    <w:rsid w:val="0088485D"/>
    <w:rsid w:val="0088491C"/>
    <w:rsid w:val="00884B92"/>
    <w:rsid w:val="00884B99"/>
    <w:rsid w:val="00884F3E"/>
    <w:rsid w:val="00884F45"/>
    <w:rsid w:val="0088583E"/>
    <w:rsid w:val="0088596C"/>
    <w:rsid w:val="00885C61"/>
    <w:rsid w:val="008867AC"/>
    <w:rsid w:val="00887693"/>
    <w:rsid w:val="00887A68"/>
    <w:rsid w:val="00887BD5"/>
    <w:rsid w:val="00887CCA"/>
    <w:rsid w:val="00887E59"/>
    <w:rsid w:val="00890500"/>
    <w:rsid w:val="00890BF3"/>
    <w:rsid w:val="00890D54"/>
    <w:rsid w:val="008910A4"/>
    <w:rsid w:val="008910DF"/>
    <w:rsid w:val="008913EE"/>
    <w:rsid w:val="00891763"/>
    <w:rsid w:val="00891D3C"/>
    <w:rsid w:val="00891F3D"/>
    <w:rsid w:val="00891F48"/>
    <w:rsid w:val="00891F93"/>
    <w:rsid w:val="008922BC"/>
    <w:rsid w:val="008923F8"/>
    <w:rsid w:val="008926E5"/>
    <w:rsid w:val="00892A39"/>
    <w:rsid w:val="00892A6C"/>
    <w:rsid w:val="00892FE9"/>
    <w:rsid w:val="008930B4"/>
    <w:rsid w:val="008930BE"/>
    <w:rsid w:val="008930D9"/>
    <w:rsid w:val="00893155"/>
    <w:rsid w:val="008931CD"/>
    <w:rsid w:val="00893696"/>
    <w:rsid w:val="008936D3"/>
    <w:rsid w:val="0089375F"/>
    <w:rsid w:val="00893BC5"/>
    <w:rsid w:val="00893DFB"/>
    <w:rsid w:val="00894351"/>
    <w:rsid w:val="008943BF"/>
    <w:rsid w:val="0089480D"/>
    <w:rsid w:val="0089495D"/>
    <w:rsid w:val="00894994"/>
    <w:rsid w:val="00894C0F"/>
    <w:rsid w:val="00895103"/>
    <w:rsid w:val="0089540A"/>
    <w:rsid w:val="00895661"/>
    <w:rsid w:val="00895684"/>
    <w:rsid w:val="00895775"/>
    <w:rsid w:val="00895B23"/>
    <w:rsid w:val="00895D15"/>
    <w:rsid w:val="00896129"/>
    <w:rsid w:val="00896172"/>
    <w:rsid w:val="00896416"/>
    <w:rsid w:val="0089656D"/>
    <w:rsid w:val="00896611"/>
    <w:rsid w:val="00896A67"/>
    <w:rsid w:val="00896EA4"/>
    <w:rsid w:val="00896EDC"/>
    <w:rsid w:val="00897087"/>
    <w:rsid w:val="008970B0"/>
    <w:rsid w:val="00897332"/>
    <w:rsid w:val="0089741E"/>
    <w:rsid w:val="008974F2"/>
    <w:rsid w:val="00897787"/>
    <w:rsid w:val="00897CAD"/>
    <w:rsid w:val="00897FAD"/>
    <w:rsid w:val="008A01E7"/>
    <w:rsid w:val="008A032F"/>
    <w:rsid w:val="008A04EC"/>
    <w:rsid w:val="008A05BE"/>
    <w:rsid w:val="008A079E"/>
    <w:rsid w:val="008A07B0"/>
    <w:rsid w:val="008A0A56"/>
    <w:rsid w:val="008A0D3E"/>
    <w:rsid w:val="008A0D3F"/>
    <w:rsid w:val="008A11B9"/>
    <w:rsid w:val="008A12E2"/>
    <w:rsid w:val="008A1339"/>
    <w:rsid w:val="008A1694"/>
    <w:rsid w:val="008A1721"/>
    <w:rsid w:val="008A1B7B"/>
    <w:rsid w:val="008A1BE5"/>
    <w:rsid w:val="008A1C38"/>
    <w:rsid w:val="008A1CB2"/>
    <w:rsid w:val="008A1F72"/>
    <w:rsid w:val="008A2067"/>
    <w:rsid w:val="008A21CF"/>
    <w:rsid w:val="008A26DC"/>
    <w:rsid w:val="008A28D2"/>
    <w:rsid w:val="008A2CDC"/>
    <w:rsid w:val="008A2CDD"/>
    <w:rsid w:val="008A303A"/>
    <w:rsid w:val="008A30FB"/>
    <w:rsid w:val="008A32D7"/>
    <w:rsid w:val="008A375B"/>
    <w:rsid w:val="008A39E3"/>
    <w:rsid w:val="008A3B64"/>
    <w:rsid w:val="008A3C25"/>
    <w:rsid w:val="008A3E23"/>
    <w:rsid w:val="008A412C"/>
    <w:rsid w:val="008A4188"/>
    <w:rsid w:val="008A41E8"/>
    <w:rsid w:val="008A4252"/>
    <w:rsid w:val="008A42E3"/>
    <w:rsid w:val="008A45B2"/>
    <w:rsid w:val="008A4B35"/>
    <w:rsid w:val="008A4CEE"/>
    <w:rsid w:val="008A4FBA"/>
    <w:rsid w:val="008A534F"/>
    <w:rsid w:val="008A55B3"/>
    <w:rsid w:val="008A566A"/>
    <w:rsid w:val="008A5690"/>
    <w:rsid w:val="008A5F37"/>
    <w:rsid w:val="008A6254"/>
    <w:rsid w:val="008A6453"/>
    <w:rsid w:val="008A669B"/>
    <w:rsid w:val="008A6740"/>
    <w:rsid w:val="008A68EC"/>
    <w:rsid w:val="008A6C14"/>
    <w:rsid w:val="008A6E86"/>
    <w:rsid w:val="008A6EC0"/>
    <w:rsid w:val="008A7049"/>
    <w:rsid w:val="008A7227"/>
    <w:rsid w:val="008A7265"/>
    <w:rsid w:val="008A7388"/>
    <w:rsid w:val="008A778D"/>
    <w:rsid w:val="008A7C44"/>
    <w:rsid w:val="008A7D4F"/>
    <w:rsid w:val="008B01B2"/>
    <w:rsid w:val="008B0497"/>
    <w:rsid w:val="008B054A"/>
    <w:rsid w:val="008B076B"/>
    <w:rsid w:val="008B0A5F"/>
    <w:rsid w:val="008B0A6C"/>
    <w:rsid w:val="008B0B32"/>
    <w:rsid w:val="008B0BB1"/>
    <w:rsid w:val="008B0E33"/>
    <w:rsid w:val="008B1065"/>
    <w:rsid w:val="008B1128"/>
    <w:rsid w:val="008B15C2"/>
    <w:rsid w:val="008B16F9"/>
    <w:rsid w:val="008B1A13"/>
    <w:rsid w:val="008B1A6A"/>
    <w:rsid w:val="008B1A71"/>
    <w:rsid w:val="008B1C0E"/>
    <w:rsid w:val="008B20A2"/>
    <w:rsid w:val="008B22E2"/>
    <w:rsid w:val="008B28EA"/>
    <w:rsid w:val="008B29B7"/>
    <w:rsid w:val="008B2B3F"/>
    <w:rsid w:val="008B2C06"/>
    <w:rsid w:val="008B2CA8"/>
    <w:rsid w:val="008B2D8E"/>
    <w:rsid w:val="008B2E10"/>
    <w:rsid w:val="008B2EDF"/>
    <w:rsid w:val="008B3148"/>
    <w:rsid w:val="008B34BF"/>
    <w:rsid w:val="008B356A"/>
    <w:rsid w:val="008B3B3C"/>
    <w:rsid w:val="008B3B78"/>
    <w:rsid w:val="008B3CBA"/>
    <w:rsid w:val="008B3D8D"/>
    <w:rsid w:val="008B3F9A"/>
    <w:rsid w:val="008B4185"/>
    <w:rsid w:val="008B4194"/>
    <w:rsid w:val="008B42BC"/>
    <w:rsid w:val="008B464D"/>
    <w:rsid w:val="008B4B23"/>
    <w:rsid w:val="008B4B3A"/>
    <w:rsid w:val="008B54BD"/>
    <w:rsid w:val="008B57F6"/>
    <w:rsid w:val="008B5CED"/>
    <w:rsid w:val="008B5D0C"/>
    <w:rsid w:val="008B5E96"/>
    <w:rsid w:val="008B5EE5"/>
    <w:rsid w:val="008B6076"/>
    <w:rsid w:val="008B637B"/>
    <w:rsid w:val="008B6420"/>
    <w:rsid w:val="008B674B"/>
    <w:rsid w:val="008B6765"/>
    <w:rsid w:val="008B6A7C"/>
    <w:rsid w:val="008B6BAE"/>
    <w:rsid w:val="008B6DB7"/>
    <w:rsid w:val="008B747B"/>
    <w:rsid w:val="008B7778"/>
    <w:rsid w:val="008B780C"/>
    <w:rsid w:val="008B7909"/>
    <w:rsid w:val="008B7D82"/>
    <w:rsid w:val="008B7F7F"/>
    <w:rsid w:val="008C028F"/>
    <w:rsid w:val="008C05DD"/>
    <w:rsid w:val="008C05EE"/>
    <w:rsid w:val="008C087E"/>
    <w:rsid w:val="008C08AE"/>
    <w:rsid w:val="008C0C7F"/>
    <w:rsid w:val="008C0DBF"/>
    <w:rsid w:val="008C12C7"/>
    <w:rsid w:val="008C1468"/>
    <w:rsid w:val="008C17D6"/>
    <w:rsid w:val="008C1844"/>
    <w:rsid w:val="008C1BA6"/>
    <w:rsid w:val="008C1BDB"/>
    <w:rsid w:val="008C1D31"/>
    <w:rsid w:val="008C1D71"/>
    <w:rsid w:val="008C1DEE"/>
    <w:rsid w:val="008C1FC1"/>
    <w:rsid w:val="008C225F"/>
    <w:rsid w:val="008C23F7"/>
    <w:rsid w:val="008C28DA"/>
    <w:rsid w:val="008C2957"/>
    <w:rsid w:val="008C2BDC"/>
    <w:rsid w:val="008C2C51"/>
    <w:rsid w:val="008C394C"/>
    <w:rsid w:val="008C3AAB"/>
    <w:rsid w:val="008C3B25"/>
    <w:rsid w:val="008C3CBA"/>
    <w:rsid w:val="008C3E7E"/>
    <w:rsid w:val="008C4020"/>
    <w:rsid w:val="008C40EC"/>
    <w:rsid w:val="008C496E"/>
    <w:rsid w:val="008C4FF9"/>
    <w:rsid w:val="008C50A2"/>
    <w:rsid w:val="008C5339"/>
    <w:rsid w:val="008C54BE"/>
    <w:rsid w:val="008C57EF"/>
    <w:rsid w:val="008C5A7C"/>
    <w:rsid w:val="008C5BAB"/>
    <w:rsid w:val="008C5D11"/>
    <w:rsid w:val="008C63B1"/>
    <w:rsid w:val="008C6455"/>
    <w:rsid w:val="008C65C0"/>
    <w:rsid w:val="008C6BDD"/>
    <w:rsid w:val="008C6D71"/>
    <w:rsid w:val="008C71C9"/>
    <w:rsid w:val="008C720B"/>
    <w:rsid w:val="008C72EA"/>
    <w:rsid w:val="008C7387"/>
    <w:rsid w:val="008C74A2"/>
    <w:rsid w:val="008C764F"/>
    <w:rsid w:val="008C795E"/>
    <w:rsid w:val="008C7A75"/>
    <w:rsid w:val="008C7ACA"/>
    <w:rsid w:val="008D04AD"/>
    <w:rsid w:val="008D0587"/>
    <w:rsid w:val="008D070B"/>
    <w:rsid w:val="008D0769"/>
    <w:rsid w:val="008D0A38"/>
    <w:rsid w:val="008D0AF5"/>
    <w:rsid w:val="008D154F"/>
    <w:rsid w:val="008D1898"/>
    <w:rsid w:val="008D1A7A"/>
    <w:rsid w:val="008D1D07"/>
    <w:rsid w:val="008D1F39"/>
    <w:rsid w:val="008D2095"/>
    <w:rsid w:val="008D210B"/>
    <w:rsid w:val="008D21DF"/>
    <w:rsid w:val="008D2258"/>
    <w:rsid w:val="008D23CF"/>
    <w:rsid w:val="008D2427"/>
    <w:rsid w:val="008D256D"/>
    <w:rsid w:val="008D2728"/>
    <w:rsid w:val="008D2A6A"/>
    <w:rsid w:val="008D2BDB"/>
    <w:rsid w:val="008D2C60"/>
    <w:rsid w:val="008D2C86"/>
    <w:rsid w:val="008D2D2C"/>
    <w:rsid w:val="008D2DA6"/>
    <w:rsid w:val="008D3049"/>
    <w:rsid w:val="008D3137"/>
    <w:rsid w:val="008D346E"/>
    <w:rsid w:val="008D3BCE"/>
    <w:rsid w:val="008D40CA"/>
    <w:rsid w:val="008D477E"/>
    <w:rsid w:val="008D4A36"/>
    <w:rsid w:val="008D4FC5"/>
    <w:rsid w:val="008D5029"/>
    <w:rsid w:val="008D5EE2"/>
    <w:rsid w:val="008D6504"/>
    <w:rsid w:val="008D6528"/>
    <w:rsid w:val="008D670E"/>
    <w:rsid w:val="008D6ADE"/>
    <w:rsid w:val="008D6C45"/>
    <w:rsid w:val="008D6E9C"/>
    <w:rsid w:val="008D6FDF"/>
    <w:rsid w:val="008D733F"/>
    <w:rsid w:val="008D7C20"/>
    <w:rsid w:val="008D7D6B"/>
    <w:rsid w:val="008D7E5D"/>
    <w:rsid w:val="008E01DB"/>
    <w:rsid w:val="008E03FA"/>
    <w:rsid w:val="008E0642"/>
    <w:rsid w:val="008E0B80"/>
    <w:rsid w:val="008E0D03"/>
    <w:rsid w:val="008E0F1E"/>
    <w:rsid w:val="008E0FC8"/>
    <w:rsid w:val="008E1155"/>
    <w:rsid w:val="008E17C8"/>
    <w:rsid w:val="008E1832"/>
    <w:rsid w:val="008E2528"/>
    <w:rsid w:val="008E25FD"/>
    <w:rsid w:val="008E27C5"/>
    <w:rsid w:val="008E28A5"/>
    <w:rsid w:val="008E29A3"/>
    <w:rsid w:val="008E329F"/>
    <w:rsid w:val="008E34E3"/>
    <w:rsid w:val="008E3A9B"/>
    <w:rsid w:val="008E3AA4"/>
    <w:rsid w:val="008E3B41"/>
    <w:rsid w:val="008E3C0F"/>
    <w:rsid w:val="008E3D87"/>
    <w:rsid w:val="008E41E4"/>
    <w:rsid w:val="008E42C2"/>
    <w:rsid w:val="008E445F"/>
    <w:rsid w:val="008E44C0"/>
    <w:rsid w:val="008E475C"/>
    <w:rsid w:val="008E4923"/>
    <w:rsid w:val="008E4944"/>
    <w:rsid w:val="008E4C79"/>
    <w:rsid w:val="008E4D06"/>
    <w:rsid w:val="008E52EF"/>
    <w:rsid w:val="008E653F"/>
    <w:rsid w:val="008E69D7"/>
    <w:rsid w:val="008E6BBC"/>
    <w:rsid w:val="008E6BF3"/>
    <w:rsid w:val="008E6C39"/>
    <w:rsid w:val="008E6DE3"/>
    <w:rsid w:val="008E75A1"/>
    <w:rsid w:val="008E75F9"/>
    <w:rsid w:val="008E7769"/>
    <w:rsid w:val="008E7BC2"/>
    <w:rsid w:val="008E7F1D"/>
    <w:rsid w:val="008E7FA1"/>
    <w:rsid w:val="008F0436"/>
    <w:rsid w:val="008F06D2"/>
    <w:rsid w:val="008F0F3A"/>
    <w:rsid w:val="008F11A1"/>
    <w:rsid w:val="008F156B"/>
    <w:rsid w:val="008F1779"/>
    <w:rsid w:val="008F1BDF"/>
    <w:rsid w:val="008F1BE3"/>
    <w:rsid w:val="008F1C33"/>
    <w:rsid w:val="008F1C88"/>
    <w:rsid w:val="008F20F0"/>
    <w:rsid w:val="008F2663"/>
    <w:rsid w:val="008F29A8"/>
    <w:rsid w:val="008F2BB7"/>
    <w:rsid w:val="008F2C22"/>
    <w:rsid w:val="008F2CE9"/>
    <w:rsid w:val="008F3066"/>
    <w:rsid w:val="008F32D4"/>
    <w:rsid w:val="008F3820"/>
    <w:rsid w:val="008F413B"/>
    <w:rsid w:val="008F4175"/>
    <w:rsid w:val="008F41AA"/>
    <w:rsid w:val="008F4276"/>
    <w:rsid w:val="008F4CAA"/>
    <w:rsid w:val="008F4EA8"/>
    <w:rsid w:val="008F4F3D"/>
    <w:rsid w:val="008F5009"/>
    <w:rsid w:val="008F50F8"/>
    <w:rsid w:val="008F5317"/>
    <w:rsid w:val="008F5616"/>
    <w:rsid w:val="008F58D6"/>
    <w:rsid w:val="008F5BA4"/>
    <w:rsid w:val="008F5C1B"/>
    <w:rsid w:val="008F5FF0"/>
    <w:rsid w:val="008F6220"/>
    <w:rsid w:val="008F6412"/>
    <w:rsid w:val="008F6888"/>
    <w:rsid w:val="008F68A3"/>
    <w:rsid w:val="008F69A1"/>
    <w:rsid w:val="008F6BFB"/>
    <w:rsid w:val="008F6E45"/>
    <w:rsid w:val="008F73F2"/>
    <w:rsid w:val="008F73F5"/>
    <w:rsid w:val="008F791D"/>
    <w:rsid w:val="008F79F6"/>
    <w:rsid w:val="009000D4"/>
    <w:rsid w:val="009004A5"/>
    <w:rsid w:val="0090095C"/>
    <w:rsid w:val="00900B2C"/>
    <w:rsid w:val="00900C1E"/>
    <w:rsid w:val="00900CB9"/>
    <w:rsid w:val="009010B1"/>
    <w:rsid w:val="009017ED"/>
    <w:rsid w:val="0090180A"/>
    <w:rsid w:val="00901902"/>
    <w:rsid w:val="00901AB4"/>
    <w:rsid w:val="00901CD5"/>
    <w:rsid w:val="00902717"/>
    <w:rsid w:val="00902A03"/>
    <w:rsid w:val="00902B6B"/>
    <w:rsid w:val="0090306E"/>
    <w:rsid w:val="00903667"/>
    <w:rsid w:val="00903670"/>
    <w:rsid w:val="00903AFB"/>
    <w:rsid w:val="00903DB2"/>
    <w:rsid w:val="00903EFD"/>
    <w:rsid w:val="00903F5A"/>
    <w:rsid w:val="009042CA"/>
    <w:rsid w:val="009044B6"/>
    <w:rsid w:val="0090489C"/>
    <w:rsid w:val="009049C2"/>
    <w:rsid w:val="00904AE3"/>
    <w:rsid w:val="00904BE3"/>
    <w:rsid w:val="00904CC5"/>
    <w:rsid w:val="00904EE8"/>
    <w:rsid w:val="00905029"/>
    <w:rsid w:val="009050B3"/>
    <w:rsid w:val="0090527F"/>
    <w:rsid w:val="0090550B"/>
    <w:rsid w:val="00905541"/>
    <w:rsid w:val="00905954"/>
    <w:rsid w:val="00905E0D"/>
    <w:rsid w:val="00905F72"/>
    <w:rsid w:val="00905FCF"/>
    <w:rsid w:val="00906048"/>
    <w:rsid w:val="00906101"/>
    <w:rsid w:val="00906682"/>
    <w:rsid w:val="009067BB"/>
    <w:rsid w:val="00906C58"/>
    <w:rsid w:val="00906CCF"/>
    <w:rsid w:val="00906D22"/>
    <w:rsid w:val="00906D52"/>
    <w:rsid w:val="00906D9D"/>
    <w:rsid w:val="00906FEE"/>
    <w:rsid w:val="00907174"/>
    <w:rsid w:val="009071AC"/>
    <w:rsid w:val="0090737F"/>
    <w:rsid w:val="009076F4"/>
    <w:rsid w:val="009078E7"/>
    <w:rsid w:val="00907929"/>
    <w:rsid w:val="00910031"/>
    <w:rsid w:val="009101B5"/>
    <w:rsid w:val="009101C5"/>
    <w:rsid w:val="009105E4"/>
    <w:rsid w:val="0091064F"/>
    <w:rsid w:val="00910654"/>
    <w:rsid w:val="00910A12"/>
    <w:rsid w:val="00910AD9"/>
    <w:rsid w:val="00910CDF"/>
    <w:rsid w:val="00910E65"/>
    <w:rsid w:val="009111C5"/>
    <w:rsid w:val="00911415"/>
    <w:rsid w:val="00911467"/>
    <w:rsid w:val="00911509"/>
    <w:rsid w:val="009115DF"/>
    <w:rsid w:val="00911765"/>
    <w:rsid w:val="009118C9"/>
    <w:rsid w:val="009120B4"/>
    <w:rsid w:val="00912154"/>
    <w:rsid w:val="00912243"/>
    <w:rsid w:val="00912341"/>
    <w:rsid w:val="0091278C"/>
    <w:rsid w:val="00912928"/>
    <w:rsid w:val="00912A44"/>
    <w:rsid w:val="00913172"/>
    <w:rsid w:val="009134F1"/>
    <w:rsid w:val="00913713"/>
    <w:rsid w:val="00913800"/>
    <w:rsid w:val="00913CB3"/>
    <w:rsid w:val="00913F80"/>
    <w:rsid w:val="00913F99"/>
    <w:rsid w:val="00914155"/>
    <w:rsid w:val="0091464E"/>
    <w:rsid w:val="00914A6C"/>
    <w:rsid w:val="00915166"/>
    <w:rsid w:val="00915180"/>
    <w:rsid w:val="009153D0"/>
    <w:rsid w:val="009154B8"/>
    <w:rsid w:val="0091578A"/>
    <w:rsid w:val="00915890"/>
    <w:rsid w:val="00915ADC"/>
    <w:rsid w:val="00915B05"/>
    <w:rsid w:val="00915E14"/>
    <w:rsid w:val="00915E75"/>
    <w:rsid w:val="009161A3"/>
    <w:rsid w:val="00916C3D"/>
    <w:rsid w:val="00916F04"/>
    <w:rsid w:val="00917029"/>
    <w:rsid w:val="00917074"/>
    <w:rsid w:val="009171A6"/>
    <w:rsid w:val="00917279"/>
    <w:rsid w:val="009172F4"/>
    <w:rsid w:val="00917810"/>
    <w:rsid w:val="00917977"/>
    <w:rsid w:val="009179B5"/>
    <w:rsid w:val="00917B82"/>
    <w:rsid w:val="00917E7B"/>
    <w:rsid w:val="00917EC7"/>
    <w:rsid w:val="00917F61"/>
    <w:rsid w:val="00920030"/>
    <w:rsid w:val="009200C0"/>
    <w:rsid w:val="009201B4"/>
    <w:rsid w:val="00920412"/>
    <w:rsid w:val="00920438"/>
    <w:rsid w:val="00920481"/>
    <w:rsid w:val="00920761"/>
    <w:rsid w:val="00920B37"/>
    <w:rsid w:val="009212F7"/>
    <w:rsid w:val="0092157E"/>
    <w:rsid w:val="009216A0"/>
    <w:rsid w:val="009216B2"/>
    <w:rsid w:val="00921CDD"/>
    <w:rsid w:val="0092206C"/>
    <w:rsid w:val="00922AC2"/>
    <w:rsid w:val="00922B85"/>
    <w:rsid w:val="0092311E"/>
    <w:rsid w:val="00923168"/>
    <w:rsid w:val="0092318D"/>
    <w:rsid w:val="00923775"/>
    <w:rsid w:val="00923890"/>
    <w:rsid w:val="009238C7"/>
    <w:rsid w:val="00923A47"/>
    <w:rsid w:val="00923AC0"/>
    <w:rsid w:val="00923C4E"/>
    <w:rsid w:val="00923E30"/>
    <w:rsid w:val="00924398"/>
    <w:rsid w:val="009247C2"/>
    <w:rsid w:val="00924800"/>
    <w:rsid w:val="0092491F"/>
    <w:rsid w:val="00924AE1"/>
    <w:rsid w:val="00924D81"/>
    <w:rsid w:val="009250B8"/>
    <w:rsid w:val="00925B7F"/>
    <w:rsid w:val="00925BDC"/>
    <w:rsid w:val="00925D03"/>
    <w:rsid w:val="00925FAC"/>
    <w:rsid w:val="0092613E"/>
    <w:rsid w:val="0092625D"/>
    <w:rsid w:val="00926358"/>
    <w:rsid w:val="009265C6"/>
    <w:rsid w:val="00926685"/>
    <w:rsid w:val="00926C7C"/>
    <w:rsid w:val="00926EDC"/>
    <w:rsid w:val="00927005"/>
    <w:rsid w:val="0092708A"/>
    <w:rsid w:val="0092766A"/>
    <w:rsid w:val="0092792B"/>
    <w:rsid w:val="00927960"/>
    <w:rsid w:val="00930345"/>
    <w:rsid w:val="009304C9"/>
    <w:rsid w:val="00930782"/>
    <w:rsid w:val="00930858"/>
    <w:rsid w:val="0093086C"/>
    <w:rsid w:val="0093098C"/>
    <w:rsid w:val="00930C51"/>
    <w:rsid w:val="00930D50"/>
    <w:rsid w:val="00930E49"/>
    <w:rsid w:val="00930E6B"/>
    <w:rsid w:val="00931151"/>
    <w:rsid w:val="00931521"/>
    <w:rsid w:val="009317BF"/>
    <w:rsid w:val="00931931"/>
    <w:rsid w:val="00931C8F"/>
    <w:rsid w:val="0093228C"/>
    <w:rsid w:val="009322D9"/>
    <w:rsid w:val="00932536"/>
    <w:rsid w:val="009325D4"/>
    <w:rsid w:val="009325FF"/>
    <w:rsid w:val="0093285E"/>
    <w:rsid w:val="00932C45"/>
    <w:rsid w:val="0093301C"/>
    <w:rsid w:val="0093303D"/>
    <w:rsid w:val="00933187"/>
    <w:rsid w:val="00933198"/>
    <w:rsid w:val="0093338C"/>
    <w:rsid w:val="009334A5"/>
    <w:rsid w:val="00933A34"/>
    <w:rsid w:val="00933A96"/>
    <w:rsid w:val="00933C3E"/>
    <w:rsid w:val="00934197"/>
    <w:rsid w:val="0093474E"/>
    <w:rsid w:val="00934813"/>
    <w:rsid w:val="009348C1"/>
    <w:rsid w:val="00934CB8"/>
    <w:rsid w:val="00934CDC"/>
    <w:rsid w:val="00934DBA"/>
    <w:rsid w:val="00934E62"/>
    <w:rsid w:val="00934F8F"/>
    <w:rsid w:val="00935329"/>
    <w:rsid w:val="009353E2"/>
    <w:rsid w:val="00935F11"/>
    <w:rsid w:val="009360DC"/>
    <w:rsid w:val="009361D0"/>
    <w:rsid w:val="009362B0"/>
    <w:rsid w:val="00936627"/>
    <w:rsid w:val="009368FB"/>
    <w:rsid w:val="00936A85"/>
    <w:rsid w:val="00936BDB"/>
    <w:rsid w:val="00936D7D"/>
    <w:rsid w:val="00936F65"/>
    <w:rsid w:val="009371CC"/>
    <w:rsid w:val="009373C7"/>
    <w:rsid w:val="009378E4"/>
    <w:rsid w:val="00937E74"/>
    <w:rsid w:val="009400B0"/>
    <w:rsid w:val="009401F8"/>
    <w:rsid w:val="0094027E"/>
    <w:rsid w:val="009403C7"/>
    <w:rsid w:val="009405F2"/>
    <w:rsid w:val="0094066B"/>
    <w:rsid w:val="00940887"/>
    <w:rsid w:val="00940978"/>
    <w:rsid w:val="00940BEC"/>
    <w:rsid w:val="00940DE6"/>
    <w:rsid w:val="00940E08"/>
    <w:rsid w:val="00941515"/>
    <w:rsid w:val="009416BD"/>
    <w:rsid w:val="00941753"/>
    <w:rsid w:val="009417CB"/>
    <w:rsid w:val="00941B5F"/>
    <w:rsid w:val="00941BF5"/>
    <w:rsid w:val="0094210C"/>
    <w:rsid w:val="009422D6"/>
    <w:rsid w:val="009422FB"/>
    <w:rsid w:val="009423DD"/>
    <w:rsid w:val="00942C87"/>
    <w:rsid w:val="00942DE6"/>
    <w:rsid w:val="00943276"/>
    <w:rsid w:val="009432D6"/>
    <w:rsid w:val="00943319"/>
    <w:rsid w:val="009434CE"/>
    <w:rsid w:val="009435F0"/>
    <w:rsid w:val="00943B6D"/>
    <w:rsid w:val="00943E28"/>
    <w:rsid w:val="00943E35"/>
    <w:rsid w:val="00943EBB"/>
    <w:rsid w:val="0094409D"/>
    <w:rsid w:val="009440F1"/>
    <w:rsid w:val="00944718"/>
    <w:rsid w:val="0094484B"/>
    <w:rsid w:val="0094489E"/>
    <w:rsid w:val="0094499D"/>
    <w:rsid w:val="00944AFD"/>
    <w:rsid w:val="00944D27"/>
    <w:rsid w:val="00944EB5"/>
    <w:rsid w:val="00945065"/>
    <w:rsid w:val="009451CF"/>
    <w:rsid w:val="00945366"/>
    <w:rsid w:val="00945424"/>
    <w:rsid w:val="00945427"/>
    <w:rsid w:val="009455B2"/>
    <w:rsid w:val="009456C6"/>
    <w:rsid w:val="009456F2"/>
    <w:rsid w:val="009459D1"/>
    <w:rsid w:val="00945AC8"/>
    <w:rsid w:val="00945E6A"/>
    <w:rsid w:val="0094655C"/>
    <w:rsid w:val="00946675"/>
    <w:rsid w:val="009466F0"/>
    <w:rsid w:val="00946D90"/>
    <w:rsid w:val="00946E57"/>
    <w:rsid w:val="00947020"/>
    <w:rsid w:val="00947172"/>
    <w:rsid w:val="00947212"/>
    <w:rsid w:val="009472B0"/>
    <w:rsid w:val="00947A37"/>
    <w:rsid w:val="00947A5F"/>
    <w:rsid w:val="00947B0A"/>
    <w:rsid w:val="00947BA9"/>
    <w:rsid w:val="00947CA6"/>
    <w:rsid w:val="009507C1"/>
    <w:rsid w:val="00950914"/>
    <w:rsid w:val="00950993"/>
    <w:rsid w:val="00950A8C"/>
    <w:rsid w:val="00950B91"/>
    <w:rsid w:val="00950EBF"/>
    <w:rsid w:val="00951141"/>
    <w:rsid w:val="009512CB"/>
    <w:rsid w:val="009516C3"/>
    <w:rsid w:val="009516FB"/>
    <w:rsid w:val="009518AC"/>
    <w:rsid w:val="0095199C"/>
    <w:rsid w:val="00951A98"/>
    <w:rsid w:val="00951C13"/>
    <w:rsid w:val="00951C17"/>
    <w:rsid w:val="00951D97"/>
    <w:rsid w:val="009524F3"/>
    <w:rsid w:val="009525F4"/>
    <w:rsid w:val="00952800"/>
    <w:rsid w:val="00952BB6"/>
    <w:rsid w:val="00952D4A"/>
    <w:rsid w:val="00952E57"/>
    <w:rsid w:val="0095301A"/>
    <w:rsid w:val="0095321C"/>
    <w:rsid w:val="009535FB"/>
    <w:rsid w:val="00953CFF"/>
    <w:rsid w:val="00953E11"/>
    <w:rsid w:val="00953F42"/>
    <w:rsid w:val="0095415C"/>
    <w:rsid w:val="009541B9"/>
    <w:rsid w:val="009541C5"/>
    <w:rsid w:val="00954353"/>
    <w:rsid w:val="009544D9"/>
    <w:rsid w:val="009548B8"/>
    <w:rsid w:val="00954916"/>
    <w:rsid w:val="00954A7B"/>
    <w:rsid w:val="00954B03"/>
    <w:rsid w:val="00954B6F"/>
    <w:rsid w:val="00954B91"/>
    <w:rsid w:val="00954E14"/>
    <w:rsid w:val="00954F0D"/>
    <w:rsid w:val="00955117"/>
    <w:rsid w:val="009553CF"/>
    <w:rsid w:val="009554A4"/>
    <w:rsid w:val="00955613"/>
    <w:rsid w:val="00955695"/>
    <w:rsid w:val="009557BB"/>
    <w:rsid w:val="0095582D"/>
    <w:rsid w:val="00955AFD"/>
    <w:rsid w:val="00955B42"/>
    <w:rsid w:val="00955CD8"/>
    <w:rsid w:val="00955DED"/>
    <w:rsid w:val="00955F60"/>
    <w:rsid w:val="00956292"/>
    <w:rsid w:val="00956373"/>
    <w:rsid w:val="009567B2"/>
    <w:rsid w:val="00956987"/>
    <w:rsid w:val="009569F3"/>
    <w:rsid w:val="00956B8C"/>
    <w:rsid w:val="00957333"/>
    <w:rsid w:val="0095757D"/>
    <w:rsid w:val="00960191"/>
    <w:rsid w:val="0096023A"/>
    <w:rsid w:val="00960266"/>
    <w:rsid w:val="009602B9"/>
    <w:rsid w:val="009606DD"/>
    <w:rsid w:val="00960A9B"/>
    <w:rsid w:val="00960B33"/>
    <w:rsid w:val="00960D66"/>
    <w:rsid w:val="00960D9D"/>
    <w:rsid w:val="009611D6"/>
    <w:rsid w:val="00961421"/>
    <w:rsid w:val="009616F0"/>
    <w:rsid w:val="00961A1C"/>
    <w:rsid w:val="009620D3"/>
    <w:rsid w:val="009623FF"/>
    <w:rsid w:val="0096258B"/>
    <w:rsid w:val="009625F1"/>
    <w:rsid w:val="009629D0"/>
    <w:rsid w:val="00962A62"/>
    <w:rsid w:val="00962B3E"/>
    <w:rsid w:val="0096327E"/>
    <w:rsid w:val="00963363"/>
    <w:rsid w:val="00963572"/>
    <w:rsid w:val="009639BD"/>
    <w:rsid w:val="009639F8"/>
    <w:rsid w:val="00963BB4"/>
    <w:rsid w:val="00963CD0"/>
    <w:rsid w:val="0096408D"/>
    <w:rsid w:val="00964108"/>
    <w:rsid w:val="00964125"/>
    <w:rsid w:val="00964274"/>
    <w:rsid w:val="00964292"/>
    <w:rsid w:val="009642F8"/>
    <w:rsid w:val="00964528"/>
    <w:rsid w:val="0096471C"/>
    <w:rsid w:val="0096471D"/>
    <w:rsid w:val="00964CEF"/>
    <w:rsid w:val="00964FDF"/>
    <w:rsid w:val="009651E4"/>
    <w:rsid w:val="009655FC"/>
    <w:rsid w:val="00965716"/>
    <w:rsid w:val="009659E9"/>
    <w:rsid w:val="00965A16"/>
    <w:rsid w:val="00965CC7"/>
    <w:rsid w:val="009661D2"/>
    <w:rsid w:val="0096641A"/>
    <w:rsid w:val="0096666A"/>
    <w:rsid w:val="00966947"/>
    <w:rsid w:val="009675F7"/>
    <w:rsid w:val="009703DF"/>
    <w:rsid w:val="009705D5"/>
    <w:rsid w:val="009708BB"/>
    <w:rsid w:val="009709BC"/>
    <w:rsid w:val="009709BF"/>
    <w:rsid w:val="00970A15"/>
    <w:rsid w:val="00970AA0"/>
    <w:rsid w:val="00970B62"/>
    <w:rsid w:val="00970CBF"/>
    <w:rsid w:val="00970CD7"/>
    <w:rsid w:val="00970D1E"/>
    <w:rsid w:val="00971115"/>
    <w:rsid w:val="0097131F"/>
    <w:rsid w:val="00971651"/>
    <w:rsid w:val="00971D43"/>
    <w:rsid w:val="00971D70"/>
    <w:rsid w:val="00972046"/>
    <w:rsid w:val="0097219F"/>
    <w:rsid w:val="009722AD"/>
    <w:rsid w:val="009723BA"/>
    <w:rsid w:val="0097255E"/>
    <w:rsid w:val="0097268E"/>
    <w:rsid w:val="009727C9"/>
    <w:rsid w:val="0097287D"/>
    <w:rsid w:val="00972D90"/>
    <w:rsid w:val="00972E8B"/>
    <w:rsid w:val="00972F05"/>
    <w:rsid w:val="009734A7"/>
    <w:rsid w:val="00973626"/>
    <w:rsid w:val="00973792"/>
    <w:rsid w:val="0097384E"/>
    <w:rsid w:val="009739DB"/>
    <w:rsid w:val="00973E6D"/>
    <w:rsid w:val="00973F50"/>
    <w:rsid w:val="00974154"/>
    <w:rsid w:val="00974293"/>
    <w:rsid w:val="009744A7"/>
    <w:rsid w:val="00974CC1"/>
    <w:rsid w:val="00974D34"/>
    <w:rsid w:val="00974D3B"/>
    <w:rsid w:val="0097540C"/>
    <w:rsid w:val="00975AEE"/>
    <w:rsid w:val="00975B0F"/>
    <w:rsid w:val="00975C0E"/>
    <w:rsid w:val="00975C51"/>
    <w:rsid w:val="00975CCA"/>
    <w:rsid w:val="00975FC9"/>
    <w:rsid w:val="0097653C"/>
    <w:rsid w:val="00976669"/>
    <w:rsid w:val="009766F0"/>
    <w:rsid w:val="0097696E"/>
    <w:rsid w:val="00976A06"/>
    <w:rsid w:val="00976CF4"/>
    <w:rsid w:val="00977002"/>
    <w:rsid w:val="00977014"/>
    <w:rsid w:val="0097706F"/>
    <w:rsid w:val="00977115"/>
    <w:rsid w:val="009773FC"/>
    <w:rsid w:val="0097769C"/>
    <w:rsid w:val="00977755"/>
    <w:rsid w:val="00977873"/>
    <w:rsid w:val="00977A42"/>
    <w:rsid w:val="00977D0E"/>
    <w:rsid w:val="00977EF3"/>
    <w:rsid w:val="00980035"/>
    <w:rsid w:val="00980398"/>
    <w:rsid w:val="00980805"/>
    <w:rsid w:val="00980A18"/>
    <w:rsid w:val="00980DFD"/>
    <w:rsid w:val="00980F8F"/>
    <w:rsid w:val="00981004"/>
    <w:rsid w:val="009813C3"/>
    <w:rsid w:val="009815C2"/>
    <w:rsid w:val="0098166C"/>
    <w:rsid w:val="00981BAD"/>
    <w:rsid w:val="0098206F"/>
    <w:rsid w:val="00982338"/>
    <w:rsid w:val="009826E5"/>
    <w:rsid w:val="00982B04"/>
    <w:rsid w:val="00982BB0"/>
    <w:rsid w:val="00982F88"/>
    <w:rsid w:val="00983C6B"/>
    <w:rsid w:val="00983DCA"/>
    <w:rsid w:val="00983F3B"/>
    <w:rsid w:val="009840BB"/>
    <w:rsid w:val="0098437B"/>
    <w:rsid w:val="0098443D"/>
    <w:rsid w:val="0098482C"/>
    <w:rsid w:val="00984DD8"/>
    <w:rsid w:val="0098521C"/>
    <w:rsid w:val="0098525F"/>
    <w:rsid w:val="00985635"/>
    <w:rsid w:val="00985710"/>
    <w:rsid w:val="00985804"/>
    <w:rsid w:val="0098587E"/>
    <w:rsid w:val="00985A9C"/>
    <w:rsid w:val="00985ABF"/>
    <w:rsid w:val="00985B36"/>
    <w:rsid w:val="00985B3A"/>
    <w:rsid w:val="00985DC0"/>
    <w:rsid w:val="00985ED9"/>
    <w:rsid w:val="00986161"/>
    <w:rsid w:val="00986501"/>
    <w:rsid w:val="00986521"/>
    <w:rsid w:val="00986E4C"/>
    <w:rsid w:val="00986EA3"/>
    <w:rsid w:val="00986F07"/>
    <w:rsid w:val="00986F32"/>
    <w:rsid w:val="0098710A"/>
    <w:rsid w:val="009873F2"/>
    <w:rsid w:val="00987648"/>
    <w:rsid w:val="00987898"/>
    <w:rsid w:val="00987D0F"/>
    <w:rsid w:val="00987E0C"/>
    <w:rsid w:val="00990269"/>
    <w:rsid w:val="00990327"/>
    <w:rsid w:val="009903DE"/>
    <w:rsid w:val="00990858"/>
    <w:rsid w:val="0099093C"/>
    <w:rsid w:val="00990A21"/>
    <w:rsid w:val="00990AB7"/>
    <w:rsid w:val="00990CC4"/>
    <w:rsid w:val="00990E64"/>
    <w:rsid w:val="0099100B"/>
    <w:rsid w:val="009911C5"/>
    <w:rsid w:val="0099128E"/>
    <w:rsid w:val="0099172B"/>
    <w:rsid w:val="0099181E"/>
    <w:rsid w:val="00991A62"/>
    <w:rsid w:val="00991BBA"/>
    <w:rsid w:val="00991BBD"/>
    <w:rsid w:val="00991BF6"/>
    <w:rsid w:val="00991CC8"/>
    <w:rsid w:val="00992040"/>
    <w:rsid w:val="009920A6"/>
    <w:rsid w:val="0099215E"/>
    <w:rsid w:val="009926A8"/>
    <w:rsid w:val="00992894"/>
    <w:rsid w:val="00992BEF"/>
    <w:rsid w:val="009930BD"/>
    <w:rsid w:val="009936EF"/>
    <w:rsid w:val="00993787"/>
    <w:rsid w:val="00993B07"/>
    <w:rsid w:val="00993C5E"/>
    <w:rsid w:val="00993E88"/>
    <w:rsid w:val="00994177"/>
    <w:rsid w:val="00994287"/>
    <w:rsid w:val="009942A4"/>
    <w:rsid w:val="009943C3"/>
    <w:rsid w:val="009943EB"/>
    <w:rsid w:val="009944E2"/>
    <w:rsid w:val="009947A6"/>
    <w:rsid w:val="009947DE"/>
    <w:rsid w:val="0099482A"/>
    <w:rsid w:val="00994BA8"/>
    <w:rsid w:val="00995064"/>
    <w:rsid w:val="00995206"/>
    <w:rsid w:val="0099526B"/>
    <w:rsid w:val="009952ED"/>
    <w:rsid w:val="00995D8E"/>
    <w:rsid w:val="00996108"/>
    <w:rsid w:val="00996161"/>
    <w:rsid w:val="0099663F"/>
    <w:rsid w:val="00996803"/>
    <w:rsid w:val="0099691C"/>
    <w:rsid w:val="00996AF4"/>
    <w:rsid w:val="00996B20"/>
    <w:rsid w:val="00996F33"/>
    <w:rsid w:val="00996FD0"/>
    <w:rsid w:val="00997417"/>
    <w:rsid w:val="0099771D"/>
    <w:rsid w:val="00997802"/>
    <w:rsid w:val="00997B29"/>
    <w:rsid w:val="00997C9C"/>
    <w:rsid w:val="00997DB0"/>
    <w:rsid w:val="00997DB2"/>
    <w:rsid w:val="00997EBA"/>
    <w:rsid w:val="00997F90"/>
    <w:rsid w:val="009A01CB"/>
    <w:rsid w:val="009A023A"/>
    <w:rsid w:val="009A02A6"/>
    <w:rsid w:val="009A07A7"/>
    <w:rsid w:val="009A0BD8"/>
    <w:rsid w:val="009A104E"/>
    <w:rsid w:val="009A1099"/>
    <w:rsid w:val="009A128B"/>
    <w:rsid w:val="009A1307"/>
    <w:rsid w:val="009A16E5"/>
    <w:rsid w:val="009A1725"/>
    <w:rsid w:val="009A1787"/>
    <w:rsid w:val="009A1902"/>
    <w:rsid w:val="009A1925"/>
    <w:rsid w:val="009A195F"/>
    <w:rsid w:val="009A1A02"/>
    <w:rsid w:val="009A1AC9"/>
    <w:rsid w:val="009A1AD1"/>
    <w:rsid w:val="009A1BEA"/>
    <w:rsid w:val="009A1CAB"/>
    <w:rsid w:val="009A20DF"/>
    <w:rsid w:val="009A2352"/>
    <w:rsid w:val="009A2605"/>
    <w:rsid w:val="009A2676"/>
    <w:rsid w:val="009A26EB"/>
    <w:rsid w:val="009A27D0"/>
    <w:rsid w:val="009A2C03"/>
    <w:rsid w:val="009A2C27"/>
    <w:rsid w:val="009A322D"/>
    <w:rsid w:val="009A388C"/>
    <w:rsid w:val="009A39A9"/>
    <w:rsid w:val="009A3B51"/>
    <w:rsid w:val="009A3E00"/>
    <w:rsid w:val="009A3F09"/>
    <w:rsid w:val="009A3F9E"/>
    <w:rsid w:val="009A4137"/>
    <w:rsid w:val="009A4223"/>
    <w:rsid w:val="009A4241"/>
    <w:rsid w:val="009A4424"/>
    <w:rsid w:val="009A4622"/>
    <w:rsid w:val="009A4CFB"/>
    <w:rsid w:val="009A4E8C"/>
    <w:rsid w:val="009A525B"/>
    <w:rsid w:val="009A53B4"/>
    <w:rsid w:val="009A54A0"/>
    <w:rsid w:val="009A54CF"/>
    <w:rsid w:val="009A5581"/>
    <w:rsid w:val="009A57C8"/>
    <w:rsid w:val="009A5B91"/>
    <w:rsid w:val="009A5F70"/>
    <w:rsid w:val="009A602D"/>
    <w:rsid w:val="009A6877"/>
    <w:rsid w:val="009A77E4"/>
    <w:rsid w:val="009A7867"/>
    <w:rsid w:val="009A79CD"/>
    <w:rsid w:val="009A7DC5"/>
    <w:rsid w:val="009A7EBA"/>
    <w:rsid w:val="009B0010"/>
    <w:rsid w:val="009B009E"/>
    <w:rsid w:val="009B0643"/>
    <w:rsid w:val="009B0B0B"/>
    <w:rsid w:val="009B1526"/>
    <w:rsid w:val="009B1A29"/>
    <w:rsid w:val="009B1D5F"/>
    <w:rsid w:val="009B1DF9"/>
    <w:rsid w:val="009B1F2F"/>
    <w:rsid w:val="009B2189"/>
    <w:rsid w:val="009B22B7"/>
    <w:rsid w:val="009B27C7"/>
    <w:rsid w:val="009B2B7C"/>
    <w:rsid w:val="009B2B9F"/>
    <w:rsid w:val="009B2BC9"/>
    <w:rsid w:val="009B2FC6"/>
    <w:rsid w:val="009B301A"/>
    <w:rsid w:val="009B3256"/>
    <w:rsid w:val="009B3356"/>
    <w:rsid w:val="009B36DA"/>
    <w:rsid w:val="009B3A9B"/>
    <w:rsid w:val="009B3C43"/>
    <w:rsid w:val="009B3CCA"/>
    <w:rsid w:val="009B3F3C"/>
    <w:rsid w:val="009B40D7"/>
    <w:rsid w:val="009B41C9"/>
    <w:rsid w:val="009B4498"/>
    <w:rsid w:val="009B46DD"/>
    <w:rsid w:val="009B47B8"/>
    <w:rsid w:val="009B47F5"/>
    <w:rsid w:val="009B49CB"/>
    <w:rsid w:val="009B4AA8"/>
    <w:rsid w:val="009B4C17"/>
    <w:rsid w:val="009B4E66"/>
    <w:rsid w:val="009B5203"/>
    <w:rsid w:val="009B53E4"/>
    <w:rsid w:val="009B54B0"/>
    <w:rsid w:val="009B5A83"/>
    <w:rsid w:val="009B5D3C"/>
    <w:rsid w:val="009B5E8D"/>
    <w:rsid w:val="009B5EA9"/>
    <w:rsid w:val="009B6061"/>
    <w:rsid w:val="009B614B"/>
    <w:rsid w:val="009B62A1"/>
    <w:rsid w:val="009B65A9"/>
    <w:rsid w:val="009B6621"/>
    <w:rsid w:val="009B6848"/>
    <w:rsid w:val="009B6A0C"/>
    <w:rsid w:val="009B6A81"/>
    <w:rsid w:val="009B6C3A"/>
    <w:rsid w:val="009B6C87"/>
    <w:rsid w:val="009B6F2C"/>
    <w:rsid w:val="009B70A6"/>
    <w:rsid w:val="009B7175"/>
    <w:rsid w:val="009B727B"/>
    <w:rsid w:val="009B72A1"/>
    <w:rsid w:val="009B737C"/>
    <w:rsid w:val="009B73AD"/>
    <w:rsid w:val="009B73B4"/>
    <w:rsid w:val="009B7575"/>
    <w:rsid w:val="009B78E3"/>
    <w:rsid w:val="009B79EF"/>
    <w:rsid w:val="009C0012"/>
    <w:rsid w:val="009C0244"/>
    <w:rsid w:val="009C02AA"/>
    <w:rsid w:val="009C03DA"/>
    <w:rsid w:val="009C0487"/>
    <w:rsid w:val="009C055A"/>
    <w:rsid w:val="009C0732"/>
    <w:rsid w:val="009C0739"/>
    <w:rsid w:val="009C08D5"/>
    <w:rsid w:val="009C0992"/>
    <w:rsid w:val="009C0E29"/>
    <w:rsid w:val="009C0E5C"/>
    <w:rsid w:val="009C10FB"/>
    <w:rsid w:val="009C118F"/>
    <w:rsid w:val="009C1469"/>
    <w:rsid w:val="009C1596"/>
    <w:rsid w:val="009C159D"/>
    <w:rsid w:val="009C193C"/>
    <w:rsid w:val="009C1BE4"/>
    <w:rsid w:val="009C1ED0"/>
    <w:rsid w:val="009C1F2A"/>
    <w:rsid w:val="009C1F6F"/>
    <w:rsid w:val="009C2130"/>
    <w:rsid w:val="009C22AF"/>
    <w:rsid w:val="009C22CC"/>
    <w:rsid w:val="009C231F"/>
    <w:rsid w:val="009C24CA"/>
    <w:rsid w:val="009C324B"/>
    <w:rsid w:val="009C33EE"/>
    <w:rsid w:val="009C34E5"/>
    <w:rsid w:val="009C3901"/>
    <w:rsid w:val="009C396D"/>
    <w:rsid w:val="009C3A1D"/>
    <w:rsid w:val="009C3EDD"/>
    <w:rsid w:val="009C3EF2"/>
    <w:rsid w:val="009C4130"/>
    <w:rsid w:val="009C44EA"/>
    <w:rsid w:val="009C48EC"/>
    <w:rsid w:val="009C4940"/>
    <w:rsid w:val="009C4B54"/>
    <w:rsid w:val="009C4DAC"/>
    <w:rsid w:val="009C558A"/>
    <w:rsid w:val="009C56D6"/>
    <w:rsid w:val="009C584F"/>
    <w:rsid w:val="009C5BA2"/>
    <w:rsid w:val="009C5C95"/>
    <w:rsid w:val="009C605B"/>
    <w:rsid w:val="009C629B"/>
    <w:rsid w:val="009C6846"/>
    <w:rsid w:val="009C6888"/>
    <w:rsid w:val="009C68D3"/>
    <w:rsid w:val="009C6BA2"/>
    <w:rsid w:val="009C6E08"/>
    <w:rsid w:val="009C7006"/>
    <w:rsid w:val="009C70C7"/>
    <w:rsid w:val="009C70F6"/>
    <w:rsid w:val="009C7161"/>
    <w:rsid w:val="009C73B2"/>
    <w:rsid w:val="009C7544"/>
    <w:rsid w:val="009C76D2"/>
    <w:rsid w:val="009C7774"/>
    <w:rsid w:val="009C78BA"/>
    <w:rsid w:val="009C79B8"/>
    <w:rsid w:val="009C79EC"/>
    <w:rsid w:val="009C7D9C"/>
    <w:rsid w:val="009D00D3"/>
    <w:rsid w:val="009D0296"/>
    <w:rsid w:val="009D081A"/>
    <w:rsid w:val="009D0AAB"/>
    <w:rsid w:val="009D145F"/>
    <w:rsid w:val="009D14A6"/>
    <w:rsid w:val="009D1604"/>
    <w:rsid w:val="009D1937"/>
    <w:rsid w:val="009D193A"/>
    <w:rsid w:val="009D1AF4"/>
    <w:rsid w:val="009D1CD4"/>
    <w:rsid w:val="009D1F05"/>
    <w:rsid w:val="009D2211"/>
    <w:rsid w:val="009D2329"/>
    <w:rsid w:val="009D2447"/>
    <w:rsid w:val="009D249C"/>
    <w:rsid w:val="009D24F8"/>
    <w:rsid w:val="009D2511"/>
    <w:rsid w:val="009D25CE"/>
    <w:rsid w:val="009D260E"/>
    <w:rsid w:val="009D3174"/>
    <w:rsid w:val="009D3637"/>
    <w:rsid w:val="009D363C"/>
    <w:rsid w:val="009D38CB"/>
    <w:rsid w:val="009D3B05"/>
    <w:rsid w:val="009D3D69"/>
    <w:rsid w:val="009D3DCF"/>
    <w:rsid w:val="009D40B0"/>
    <w:rsid w:val="009D44C2"/>
    <w:rsid w:val="009D4597"/>
    <w:rsid w:val="009D4732"/>
    <w:rsid w:val="009D4ACF"/>
    <w:rsid w:val="009D4C1A"/>
    <w:rsid w:val="009D4CFB"/>
    <w:rsid w:val="009D4E36"/>
    <w:rsid w:val="009D5119"/>
    <w:rsid w:val="009D536E"/>
    <w:rsid w:val="009D601D"/>
    <w:rsid w:val="009D60B0"/>
    <w:rsid w:val="009D618C"/>
    <w:rsid w:val="009D6778"/>
    <w:rsid w:val="009D6CDD"/>
    <w:rsid w:val="009D7269"/>
    <w:rsid w:val="009D7698"/>
    <w:rsid w:val="009D786D"/>
    <w:rsid w:val="009D7A05"/>
    <w:rsid w:val="009D7A18"/>
    <w:rsid w:val="009D7AD5"/>
    <w:rsid w:val="009D7D73"/>
    <w:rsid w:val="009E0103"/>
    <w:rsid w:val="009E03C3"/>
    <w:rsid w:val="009E04D9"/>
    <w:rsid w:val="009E04EE"/>
    <w:rsid w:val="009E072F"/>
    <w:rsid w:val="009E093C"/>
    <w:rsid w:val="009E0A82"/>
    <w:rsid w:val="009E0CF1"/>
    <w:rsid w:val="009E13FE"/>
    <w:rsid w:val="009E193B"/>
    <w:rsid w:val="009E1A26"/>
    <w:rsid w:val="009E1A60"/>
    <w:rsid w:val="009E1ADE"/>
    <w:rsid w:val="009E1B5A"/>
    <w:rsid w:val="009E1EE9"/>
    <w:rsid w:val="009E2132"/>
    <w:rsid w:val="009E2198"/>
    <w:rsid w:val="009E22C1"/>
    <w:rsid w:val="009E29E4"/>
    <w:rsid w:val="009E2AC9"/>
    <w:rsid w:val="009E2D55"/>
    <w:rsid w:val="009E2F1D"/>
    <w:rsid w:val="009E30E6"/>
    <w:rsid w:val="009E33BC"/>
    <w:rsid w:val="009E3453"/>
    <w:rsid w:val="009E36CF"/>
    <w:rsid w:val="009E3C3B"/>
    <w:rsid w:val="009E3D98"/>
    <w:rsid w:val="009E3DB0"/>
    <w:rsid w:val="009E47BD"/>
    <w:rsid w:val="009E4A6B"/>
    <w:rsid w:val="009E4ADE"/>
    <w:rsid w:val="009E4DB4"/>
    <w:rsid w:val="009E52E9"/>
    <w:rsid w:val="009E5654"/>
    <w:rsid w:val="009E5746"/>
    <w:rsid w:val="009E5750"/>
    <w:rsid w:val="009E5A50"/>
    <w:rsid w:val="009E5B9D"/>
    <w:rsid w:val="009E5E8D"/>
    <w:rsid w:val="009E638C"/>
    <w:rsid w:val="009E65C7"/>
    <w:rsid w:val="009E68B7"/>
    <w:rsid w:val="009E6A61"/>
    <w:rsid w:val="009E6BB6"/>
    <w:rsid w:val="009E70DC"/>
    <w:rsid w:val="009E7440"/>
    <w:rsid w:val="009E75E5"/>
    <w:rsid w:val="009E7883"/>
    <w:rsid w:val="009E79CA"/>
    <w:rsid w:val="009E7AC1"/>
    <w:rsid w:val="009E7D74"/>
    <w:rsid w:val="009E7F23"/>
    <w:rsid w:val="009E7F56"/>
    <w:rsid w:val="009E7FB6"/>
    <w:rsid w:val="009F03AC"/>
    <w:rsid w:val="009F06C5"/>
    <w:rsid w:val="009F0735"/>
    <w:rsid w:val="009F0863"/>
    <w:rsid w:val="009F0AC3"/>
    <w:rsid w:val="009F0B9D"/>
    <w:rsid w:val="009F15A7"/>
    <w:rsid w:val="009F1749"/>
    <w:rsid w:val="009F179E"/>
    <w:rsid w:val="009F1DBA"/>
    <w:rsid w:val="009F201A"/>
    <w:rsid w:val="009F2156"/>
    <w:rsid w:val="009F218B"/>
    <w:rsid w:val="009F2466"/>
    <w:rsid w:val="009F2562"/>
    <w:rsid w:val="009F2701"/>
    <w:rsid w:val="009F277A"/>
    <w:rsid w:val="009F280A"/>
    <w:rsid w:val="009F2845"/>
    <w:rsid w:val="009F297E"/>
    <w:rsid w:val="009F2B7C"/>
    <w:rsid w:val="009F2C21"/>
    <w:rsid w:val="009F3190"/>
    <w:rsid w:val="009F3798"/>
    <w:rsid w:val="009F381D"/>
    <w:rsid w:val="009F395E"/>
    <w:rsid w:val="009F3A34"/>
    <w:rsid w:val="009F3E61"/>
    <w:rsid w:val="009F3F25"/>
    <w:rsid w:val="009F41E0"/>
    <w:rsid w:val="009F423F"/>
    <w:rsid w:val="009F458F"/>
    <w:rsid w:val="009F4651"/>
    <w:rsid w:val="009F4837"/>
    <w:rsid w:val="009F49BB"/>
    <w:rsid w:val="009F4A38"/>
    <w:rsid w:val="009F4A61"/>
    <w:rsid w:val="009F4B4C"/>
    <w:rsid w:val="009F4B96"/>
    <w:rsid w:val="009F4BA6"/>
    <w:rsid w:val="009F4BC6"/>
    <w:rsid w:val="009F4BED"/>
    <w:rsid w:val="009F4C6D"/>
    <w:rsid w:val="009F4C9D"/>
    <w:rsid w:val="009F4FC9"/>
    <w:rsid w:val="009F5130"/>
    <w:rsid w:val="009F53FD"/>
    <w:rsid w:val="009F54EB"/>
    <w:rsid w:val="009F59E1"/>
    <w:rsid w:val="009F5AE3"/>
    <w:rsid w:val="009F5E6A"/>
    <w:rsid w:val="009F609C"/>
    <w:rsid w:val="009F64E8"/>
    <w:rsid w:val="009F6D6F"/>
    <w:rsid w:val="009F765F"/>
    <w:rsid w:val="009F7698"/>
    <w:rsid w:val="009F77CF"/>
    <w:rsid w:val="009F7C51"/>
    <w:rsid w:val="009F7D2E"/>
    <w:rsid w:val="009F7EA8"/>
    <w:rsid w:val="009F7FEE"/>
    <w:rsid w:val="00A0026E"/>
    <w:rsid w:val="00A0062C"/>
    <w:rsid w:val="00A00692"/>
    <w:rsid w:val="00A00705"/>
    <w:rsid w:val="00A00886"/>
    <w:rsid w:val="00A00F5C"/>
    <w:rsid w:val="00A0126F"/>
    <w:rsid w:val="00A01496"/>
    <w:rsid w:val="00A0180D"/>
    <w:rsid w:val="00A01AC1"/>
    <w:rsid w:val="00A01B32"/>
    <w:rsid w:val="00A01D1C"/>
    <w:rsid w:val="00A01DF7"/>
    <w:rsid w:val="00A01E2C"/>
    <w:rsid w:val="00A01E2E"/>
    <w:rsid w:val="00A021A5"/>
    <w:rsid w:val="00A02897"/>
    <w:rsid w:val="00A02BEA"/>
    <w:rsid w:val="00A02D74"/>
    <w:rsid w:val="00A03260"/>
    <w:rsid w:val="00A03429"/>
    <w:rsid w:val="00A034E1"/>
    <w:rsid w:val="00A035D3"/>
    <w:rsid w:val="00A0392A"/>
    <w:rsid w:val="00A03A10"/>
    <w:rsid w:val="00A03AD2"/>
    <w:rsid w:val="00A03D77"/>
    <w:rsid w:val="00A03FD5"/>
    <w:rsid w:val="00A04080"/>
    <w:rsid w:val="00A0421A"/>
    <w:rsid w:val="00A0434E"/>
    <w:rsid w:val="00A046C2"/>
    <w:rsid w:val="00A048DC"/>
    <w:rsid w:val="00A04A64"/>
    <w:rsid w:val="00A04E57"/>
    <w:rsid w:val="00A04F9E"/>
    <w:rsid w:val="00A051BC"/>
    <w:rsid w:val="00A052FE"/>
    <w:rsid w:val="00A055B0"/>
    <w:rsid w:val="00A055B3"/>
    <w:rsid w:val="00A05BFF"/>
    <w:rsid w:val="00A05CB8"/>
    <w:rsid w:val="00A05D82"/>
    <w:rsid w:val="00A05F8D"/>
    <w:rsid w:val="00A06270"/>
    <w:rsid w:val="00A066B4"/>
    <w:rsid w:val="00A067F9"/>
    <w:rsid w:val="00A0681C"/>
    <w:rsid w:val="00A0684A"/>
    <w:rsid w:val="00A06C15"/>
    <w:rsid w:val="00A06E37"/>
    <w:rsid w:val="00A073FE"/>
    <w:rsid w:val="00A07582"/>
    <w:rsid w:val="00A07C1E"/>
    <w:rsid w:val="00A07D88"/>
    <w:rsid w:val="00A10260"/>
    <w:rsid w:val="00A10469"/>
    <w:rsid w:val="00A10911"/>
    <w:rsid w:val="00A109A1"/>
    <w:rsid w:val="00A10BEB"/>
    <w:rsid w:val="00A10C3A"/>
    <w:rsid w:val="00A11099"/>
    <w:rsid w:val="00A115B6"/>
    <w:rsid w:val="00A1163D"/>
    <w:rsid w:val="00A11666"/>
    <w:rsid w:val="00A119DC"/>
    <w:rsid w:val="00A11A18"/>
    <w:rsid w:val="00A11E56"/>
    <w:rsid w:val="00A11EC3"/>
    <w:rsid w:val="00A1216E"/>
    <w:rsid w:val="00A1249A"/>
    <w:rsid w:val="00A12909"/>
    <w:rsid w:val="00A12BE3"/>
    <w:rsid w:val="00A12C55"/>
    <w:rsid w:val="00A12E9B"/>
    <w:rsid w:val="00A12EB4"/>
    <w:rsid w:val="00A1317D"/>
    <w:rsid w:val="00A1329E"/>
    <w:rsid w:val="00A133C3"/>
    <w:rsid w:val="00A13418"/>
    <w:rsid w:val="00A1357C"/>
    <w:rsid w:val="00A135A8"/>
    <w:rsid w:val="00A13C3A"/>
    <w:rsid w:val="00A13C86"/>
    <w:rsid w:val="00A14128"/>
    <w:rsid w:val="00A14258"/>
    <w:rsid w:val="00A14327"/>
    <w:rsid w:val="00A143B1"/>
    <w:rsid w:val="00A145D1"/>
    <w:rsid w:val="00A14615"/>
    <w:rsid w:val="00A14DA5"/>
    <w:rsid w:val="00A15191"/>
    <w:rsid w:val="00A15B3C"/>
    <w:rsid w:val="00A15B59"/>
    <w:rsid w:val="00A15E8F"/>
    <w:rsid w:val="00A16014"/>
    <w:rsid w:val="00A16245"/>
    <w:rsid w:val="00A16289"/>
    <w:rsid w:val="00A16619"/>
    <w:rsid w:val="00A168EF"/>
    <w:rsid w:val="00A16947"/>
    <w:rsid w:val="00A16A2E"/>
    <w:rsid w:val="00A17022"/>
    <w:rsid w:val="00A1757C"/>
    <w:rsid w:val="00A178AD"/>
    <w:rsid w:val="00A17947"/>
    <w:rsid w:val="00A17998"/>
    <w:rsid w:val="00A2003F"/>
    <w:rsid w:val="00A201C7"/>
    <w:rsid w:val="00A20632"/>
    <w:rsid w:val="00A208FC"/>
    <w:rsid w:val="00A20A25"/>
    <w:rsid w:val="00A20B63"/>
    <w:rsid w:val="00A20DF3"/>
    <w:rsid w:val="00A20EB7"/>
    <w:rsid w:val="00A21002"/>
    <w:rsid w:val="00A218F3"/>
    <w:rsid w:val="00A22134"/>
    <w:rsid w:val="00A225D2"/>
    <w:rsid w:val="00A23035"/>
    <w:rsid w:val="00A23072"/>
    <w:rsid w:val="00A2309A"/>
    <w:rsid w:val="00A231D9"/>
    <w:rsid w:val="00A23252"/>
    <w:rsid w:val="00A2328C"/>
    <w:rsid w:val="00A2333D"/>
    <w:rsid w:val="00A2363D"/>
    <w:rsid w:val="00A239B0"/>
    <w:rsid w:val="00A23A97"/>
    <w:rsid w:val="00A23AC2"/>
    <w:rsid w:val="00A23B3D"/>
    <w:rsid w:val="00A23BAE"/>
    <w:rsid w:val="00A23BEE"/>
    <w:rsid w:val="00A24982"/>
    <w:rsid w:val="00A24A87"/>
    <w:rsid w:val="00A24F5E"/>
    <w:rsid w:val="00A24F88"/>
    <w:rsid w:val="00A25241"/>
    <w:rsid w:val="00A2530A"/>
    <w:rsid w:val="00A253DD"/>
    <w:rsid w:val="00A25485"/>
    <w:rsid w:val="00A2560F"/>
    <w:rsid w:val="00A257EC"/>
    <w:rsid w:val="00A25812"/>
    <w:rsid w:val="00A258B7"/>
    <w:rsid w:val="00A25B38"/>
    <w:rsid w:val="00A25C01"/>
    <w:rsid w:val="00A25DCB"/>
    <w:rsid w:val="00A25DCD"/>
    <w:rsid w:val="00A25DE3"/>
    <w:rsid w:val="00A25F5E"/>
    <w:rsid w:val="00A25FDD"/>
    <w:rsid w:val="00A26125"/>
    <w:rsid w:val="00A2660D"/>
    <w:rsid w:val="00A26866"/>
    <w:rsid w:val="00A269F5"/>
    <w:rsid w:val="00A26A9A"/>
    <w:rsid w:val="00A26CB9"/>
    <w:rsid w:val="00A26CCF"/>
    <w:rsid w:val="00A26F2C"/>
    <w:rsid w:val="00A270EB"/>
    <w:rsid w:val="00A272ED"/>
    <w:rsid w:val="00A27568"/>
    <w:rsid w:val="00A27C6C"/>
    <w:rsid w:val="00A27E6F"/>
    <w:rsid w:val="00A27FA4"/>
    <w:rsid w:val="00A30061"/>
    <w:rsid w:val="00A30077"/>
    <w:rsid w:val="00A3040E"/>
    <w:rsid w:val="00A308AE"/>
    <w:rsid w:val="00A30BF0"/>
    <w:rsid w:val="00A30C33"/>
    <w:rsid w:val="00A30CA8"/>
    <w:rsid w:val="00A30E5B"/>
    <w:rsid w:val="00A311AB"/>
    <w:rsid w:val="00A31348"/>
    <w:rsid w:val="00A31883"/>
    <w:rsid w:val="00A3189E"/>
    <w:rsid w:val="00A31B81"/>
    <w:rsid w:val="00A31C32"/>
    <w:rsid w:val="00A31D07"/>
    <w:rsid w:val="00A31E5A"/>
    <w:rsid w:val="00A3205F"/>
    <w:rsid w:val="00A3223F"/>
    <w:rsid w:val="00A3224D"/>
    <w:rsid w:val="00A322EA"/>
    <w:rsid w:val="00A32AAB"/>
    <w:rsid w:val="00A32EA8"/>
    <w:rsid w:val="00A32F31"/>
    <w:rsid w:val="00A334F8"/>
    <w:rsid w:val="00A338CD"/>
    <w:rsid w:val="00A33930"/>
    <w:rsid w:val="00A33A1F"/>
    <w:rsid w:val="00A33E38"/>
    <w:rsid w:val="00A33E69"/>
    <w:rsid w:val="00A33F8C"/>
    <w:rsid w:val="00A3403A"/>
    <w:rsid w:val="00A34185"/>
    <w:rsid w:val="00A34274"/>
    <w:rsid w:val="00A3428E"/>
    <w:rsid w:val="00A342B9"/>
    <w:rsid w:val="00A34308"/>
    <w:rsid w:val="00A34704"/>
    <w:rsid w:val="00A34758"/>
    <w:rsid w:val="00A347D5"/>
    <w:rsid w:val="00A34B92"/>
    <w:rsid w:val="00A34F4F"/>
    <w:rsid w:val="00A3522F"/>
    <w:rsid w:val="00A352BC"/>
    <w:rsid w:val="00A3537E"/>
    <w:rsid w:val="00A35447"/>
    <w:rsid w:val="00A35623"/>
    <w:rsid w:val="00A35746"/>
    <w:rsid w:val="00A357D8"/>
    <w:rsid w:val="00A35A2F"/>
    <w:rsid w:val="00A35C69"/>
    <w:rsid w:val="00A35D31"/>
    <w:rsid w:val="00A35D9A"/>
    <w:rsid w:val="00A35E69"/>
    <w:rsid w:val="00A363AB"/>
    <w:rsid w:val="00A363B5"/>
    <w:rsid w:val="00A36A30"/>
    <w:rsid w:val="00A36B9C"/>
    <w:rsid w:val="00A36FA2"/>
    <w:rsid w:val="00A370BA"/>
    <w:rsid w:val="00A37302"/>
    <w:rsid w:val="00A373A2"/>
    <w:rsid w:val="00A37574"/>
    <w:rsid w:val="00A37923"/>
    <w:rsid w:val="00A37A13"/>
    <w:rsid w:val="00A37B92"/>
    <w:rsid w:val="00A37C2B"/>
    <w:rsid w:val="00A37E69"/>
    <w:rsid w:val="00A37EC1"/>
    <w:rsid w:val="00A40424"/>
    <w:rsid w:val="00A40620"/>
    <w:rsid w:val="00A40764"/>
    <w:rsid w:val="00A4092E"/>
    <w:rsid w:val="00A40A6A"/>
    <w:rsid w:val="00A40E1A"/>
    <w:rsid w:val="00A40EBC"/>
    <w:rsid w:val="00A40F36"/>
    <w:rsid w:val="00A411ED"/>
    <w:rsid w:val="00A41399"/>
    <w:rsid w:val="00A4181D"/>
    <w:rsid w:val="00A41D5E"/>
    <w:rsid w:val="00A41E87"/>
    <w:rsid w:val="00A4228B"/>
    <w:rsid w:val="00A42390"/>
    <w:rsid w:val="00A423B9"/>
    <w:rsid w:val="00A425AF"/>
    <w:rsid w:val="00A4271D"/>
    <w:rsid w:val="00A42748"/>
    <w:rsid w:val="00A42813"/>
    <w:rsid w:val="00A42842"/>
    <w:rsid w:val="00A42E22"/>
    <w:rsid w:val="00A4313A"/>
    <w:rsid w:val="00A43840"/>
    <w:rsid w:val="00A439A9"/>
    <w:rsid w:val="00A43F5E"/>
    <w:rsid w:val="00A442F2"/>
    <w:rsid w:val="00A4485A"/>
    <w:rsid w:val="00A4485B"/>
    <w:rsid w:val="00A44931"/>
    <w:rsid w:val="00A44A4E"/>
    <w:rsid w:val="00A44B4D"/>
    <w:rsid w:val="00A44D67"/>
    <w:rsid w:val="00A44EDF"/>
    <w:rsid w:val="00A4516B"/>
    <w:rsid w:val="00A45631"/>
    <w:rsid w:val="00A45804"/>
    <w:rsid w:val="00A45807"/>
    <w:rsid w:val="00A45AA5"/>
    <w:rsid w:val="00A45ACE"/>
    <w:rsid w:val="00A45BF7"/>
    <w:rsid w:val="00A4619A"/>
    <w:rsid w:val="00A46408"/>
    <w:rsid w:val="00A467C8"/>
    <w:rsid w:val="00A46CA3"/>
    <w:rsid w:val="00A46E13"/>
    <w:rsid w:val="00A46E75"/>
    <w:rsid w:val="00A47082"/>
    <w:rsid w:val="00A473AB"/>
    <w:rsid w:val="00A4759D"/>
    <w:rsid w:val="00A4772C"/>
    <w:rsid w:val="00A47753"/>
    <w:rsid w:val="00A47AF5"/>
    <w:rsid w:val="00A47B7E"/>
    <w:rsid w:val="00A503A8"/>
    <w:rsid w:val="00A50485"/>
    <w:rsid w:val="00A506C6"/>
    <w:rsid w:val="00A507F8"/>
    <w:rsid w:val="00A50843"/>
    <w:rsid w:val="00A5084C"/>
    <w:rsid w:val="00A5085C"/>
    <w:rsid w:val="00A50CC0"/>
    <w:rsid w:val="00A5111F"/>
    <w:rsid w:val="00A511E5"/>
    <w:rsid w:val="00A517C5"/>
    <w:rsid w:val="00A51AD4"/>
    <w:rsid w:val="00A51B12"/>
    <w:rsid w:val="00A51B74"/>
    <w:rsid w:val="00A51E47"/>
    <w:rsid w:val="00A51F87"/>
    <w:rsid w:val="00A51FD2"/>
    <w:rsid w:val="00A5216A"/>
    <w:rsid w:val="00A5221D"/>
    <w:rsid w:val="00A522C4"/>
    <w:rsid w:val="00A52554"/>
    <w:rsid w:val="00A52AD9"/>
    <w:rsid w:val="00A52B88"/>
    <w:rsid w:val="00A52B89"/>
    <w:rsid w:val="00A52C7D"/>
    <w:rsid w:val="00A52CC4"/>
    <w:rsid w:val="00A52D61"/>
    <w:rsid w:val="00A53032"/>
    <w:rsid w:val="00A5314C"/>
    <w:rsid w:val="00A5335A"/>
    <w:rsid w:val="00A53494"/>
    <w:rsid w:val="00A53B3B"/>
    <w:rsid w:val="00A53CB8"/>
    <w:rsid w:val="00A53DEE"/>
    <w:rsid w:val="00A5406A"/>
    <w:rsid w:val="00A542CA"/>
    <w:rsid w:val="00A54416"/>
    <w:rsid w:val="00A54568"/>
    <w:rsid w:val="00A54636"/>
    <w:rsid w:val="00A54AF9"/>
    <w:rsid w:val="00A54C03"/>
    <w:rsid w:val="00A54C18"/>
    <w:rsid w:val="00A54C38"/>
    <w:rsid w:val="00A54C64"/>
    <w:rsid w:val="00A5508B"/>
    <w:rsid w:val="00A55536"/>
    <w:rsid w:val="00A5579E"/>
    <w:rsid w:val="00A55A5D"/>
    <w:rsid w:val="00A55CB2"/>
    <w:rsid w:val="00A55F54"/>
    <w:rsid w:val="00A56393"/>
    <w:rsid w:val="00A5639F"/>
    <w:rsid w:val="00A56425"/>
    <w:rsid w:val="00A565B8"/>
    <w:rsid w:val="00A56797"/>
    <w:rsid w:val="00A56D27"/>
    <w:rsid w:val="00A56F51"/>
    <w:rsid w:val="00A57120"/>
    <w:rsid w:val="00A5776E"/>
    <w:rsid w:val="00A577A1"/>
    <w:rsid w:val="00A57F08"/>
    <w:rsid w:val="00A57F21"/>
    <w:rsid w:val="00A60307"/>
    <w:rsid w:val="00A604E5"/>
    <w:rsid w:val="00A6099B"/>
    <w:rsid w:val="00A609C4"/>
    <w:rsid w:val="00A60C7D"/>
    <w:rsid w:val="00A60D54"/>
    <w:rsid w:val="00A6115C"/>
    <w:rsid w:val="00A611D5"/>
    <w:rsid w:val="00A61659"/>
    <w:rsid w:val="00A61682"/>
    <w:rsid w:val="00A61974"/>
    <w:rsid w:val="00A61A3C"/>
    <w:rsid w:val="00A61B2F"/>
    <w:rsid w:val="00A61F48"/>
    <w:rsid w:val="00A62487"/>
    <w:rsid w:val="00A624B4"/>
    <w:rsid w:val="00A62734"/>
    <w:rsid w:val="00A627CA"/>
    <w:rsid w:val="00A629E3"/>
    <w:rsid w:val="00A62C3E"/>
    <w:rsid w:val="00A62C99"/>
    <w:rsid w:val="00A62D72"/>
    <w:rsid w:val="00A631DE"/>
    <w:rsid w:val="00A63369"/>
    <w:rsid w:val="00A63423"/>
    <w:rsid w:val="00A6353A"/>
    <w:rsid w:val="00A6359A"/>
    <w:rsid w:val="00A63B3E"/>
    <w:rsid w:val="00A64485"/>
    <w:rsid w:val="00A6460D"/>
    <w:rsid w:val="00A64641"/>
    <w:rsid w:val="00A64701"/>
    <w:rsid w:val="00A64849"/>
    <w:rsid w:val="00A64D82"/>
    <w:rsid w:val="00A6510E"/>
    <w:rsid w:val="00A65359"/>
    <w:rsid w:val="00A6535B"/>
    <w:rsid w:val="00A653F9"/>
    <w:rsid w:val="00A654C0"/>
    <w:rsid w:val="00A655B0"/>
    <w:rsid w:val="00A655F0"/>
    <w:rsid w:val="00A65953"/>
    <w:rsid w:val="00A6596C"/>
    <w:rsid w:val="00A65BEC"/>
    <w:rsid w:val="00A66741"/>
    <w:rsid w:val="00A669B3"/>
    <w:rsid w:val="00A66C35"/>
    <w:rsid w:val="00A66C95"/>
    <w:rsid w:val="00A66EFE"/>
    <w:rsid w:val="00A67126"/>
    <w:rsid w:val="00A70163"/>
    <w:rsid w:val="00A7020F"/>
    <w:rsid w:val="00A705E8"/>
    <w:rsid w:val="00A70957"/>
    <w:rsid w:val="00A70A64"/>
    <w:rsid w:val="00A70C31"/>
    <w:rsid w:val="00A70C81"/>
    <w:rsid w:val="00A70FA5"/>
    <w:rsid w:val="00A71159"/>
    <w:rsid w:val="00A7116D"/>
    <w:rsid w:val="00A7121F"/>
    <w:rsid w:val="00A7127A"/>
    <w:rsid w:val="00A712D4"/>
    <w:rsid w:val="00A71347"/>
    <w:rsid w:val="00A71390"/>
    <w:rsid w:val="00A71895"/>
    <w:rsid w:val="00A71943"/>
    <w:rsid w:val="00A719A8"/>
    <w:rsid w:val="00A71A35"/>
    <w:rsid w:val="00A71C41"/>
    <w:rsid w:val="00A71C8F"/>
    <w:rsid w:val="00A7276D"/>
    <w:rsid w:val="00A728AA"/>
    <w:rsid w:val="00A729D3"/>
    <w:rsid w:val="00A72A07"/>
    <w:rsid w:val="00A72CA1"/>
    <w:rsid w:val="00A7324A"/>
    <w:rsid w:val="00A7361B"/>
    <w:rsid w:val="00A737B0"/>
    <w:rsid w:val="00A738C9"/>
    <w:rsid w:val="00A73C6D"/>
    <w:rsid w:val="00A740A7"/>
    <w:rsid w:val="00A7414D"/>
    <w:rsid w:val="00A741C2"/>
    <w:rsid w:val="00A745BB"/>
    <w:rsid w:val="00A7463F"/>
    <w:rsid w:val="00A7480E"/>
    <w:rsid w:val="00A74880"/>
    <w:rsid w:val="00A748E5"/>
    <w:rsid w:val="00A751A8"/>
    <w:rsid w:val="00A75258"/>
    <w:rsid w:val="00A75605"/>
    <w:rsid w:val="00A75AEA"/>
    <w:rsid w:val="00A75F80"/>
    <w:rsid w:val="00A76003"/>
    <w:rsid w:val="00A76325"/>
    <w:rsid w:val="00A7651B"/>
    <w:rsid w:val="00A76815"/>
    <w:rsid w:val="00A76A23"/>
    <w:rsid w:val="00A76B35"/>
    <w:rsid w:val="00A76C2F"/>
    <w:rsid w:val="00A7747C"/>
    <w:rsid w:val="00A77A0D"/>
    <w:rsid w:val="00A77E92"/>
    <w:rsid w:val="00A8036C"/>
    <w:rsid w:val="00A8047D"/>
    <w:rsid w:val="00A80824"/>
    <w:rsid w:val="00A80E56"/>
    <w:rsid w:val="00A813C3"/>
    <w:rsid w:val="00A814DD"/>
    <w:rsid w:val="00A81774"/>
    <w:rsid w:val="00A8185F"/>
    <w:rsid w:val="00A8186B"/>
    <w:rsid w:val="00A81CCE"/>
    <w:rsid w:val="00A82084"/>
    <w:rsid w:val="00A82330"/>
    <w:rsid w:val="00A825B2"/>
    <w:rsid w:val="00A828F5"/>
    <w:rsid w:val="00A829CB"/>
    <w:rsid w:val="00A82B76"/>
    <w:rsid w:val="00A82D63"/>
    <w:rsid w:val="00A82D66"/>
    <w:rsid w:val="00A8312D"/>
    <w:rsid w:val="00A83208"/>
    <w:rsid w:val="00A83270"/>
    <w:rsid w:val="00A8331E"/>
    <w:rsid w:val="00A8343B"/>
    <w:rsid w:val="00A83670"/>
    <w:rsid w:val="00A837D6"/>
    <w:rsid w:val="00A83864"/>
    <w:rsid w:val="00A83A64"/>
    <w:rsid w:val="00A83B05"/>
    <w:rsid w:val="00A83C3A"/>
    <w:rsid w:val="00A845D9"/>
    <w:rsid w:val="00A845E9"/>
    <w:rsid w:val="00A84C1B"/>
    <w:rsid w:val="00A84C45"/>
    <w:rsid w:val="00A84CDF"/>
    <w:rsid w:val="00A84D60"/>
    <w:rsid w:val="00A84E78"/>
    <w:rsid w:val="00A850FB"/>
    <w:rsid w:val="00A8544C"/>
    <w:rsid w:val="00A8559D"/>
    <w:rsid w:val="00A85699"/>
    <w:rsid w:val="00A856C6"/>
    <w:rsid w:val="00A85BDA"/>
    <w:rsid w:val="00A85C49"/>
    <w:rsid w:val="00A85F67"/>
    <w:rsid w:val="00A85FFA"/>
    <w:rsid w:val="00A86551"/>
    <w:rsid w:val="00A86995"/>
    <w:rsid w:val="00A87141"/>
    <w:rsid w:val="00A8759B"/>
    <w:rsid w:val="00A8771B"/>
    <w:rsid w:val="00A8774C"/>
    <w:rsid w:val="00A8783F"/>
    <w:rsid w:val="00A87D21"/>
    <w:rsid w:val="00A87D86"/>
    <w:rsid w:val="00A87FD9"/>
    <w:rsid w:val="00A900F4"/>
    <w:rsid w:val="00A90103"/>
    <w:rsid w:val="00A9087A"/>
    <w:rsid w:val="00A90D66"/>
    <w:rsid w:val="00A90F7A"/>
    <w:rsid w:val="00A91140"/>
    <w:rsid w:val="00A9121F"/>
    <w:rsid w:val="00A91344"/>
    <w:rsid w:val="00A9136D"/>
    <w:rsid w:val="00A91513"/>
    <w:rsid w:val="00A91593"/>
    <w:rsid w:val="00A9167B"/>
    <w:rsid w:val="00A916D6"/>
    <w:rsid w:val="00A91842"/>
    <w:rsid w:val="00A918BF"/>
    <w:rsid w:val="00A91950"/>
    <w:rsid w:val="00A91C2E"/>
    <w:rsid w:val="00A91E7C"/>
    <w:rsid w:val="00A92017"/>
    <w:rsid w:val="00A920C1"/>
    <w:rsid w:val="00A92128"/>
    <w:rsid w:val="00A9213E"/>
    <w:rsid w:val="00A9266F"/>
    <w:rsid w:val="00A927D9"/>
    <w:rsid w:val="00A92827"/>
    <w:rsid w:val="00A92FFD"/>
    <w:rsid w:val="00A93825"/>
    <w:rsid w:val="00A93AE6"/>
    <w:rsid w:val="00A93CDC"/>
    <w:rsid w:val="00A93F75"/>
    <w:rsid w:val="00A94371"/>
    <w:rsid w:val="00A943ED"/>
    <w:rsid w:val="00A9441D"/>
    <w:rsid w:val="00A9442B"/>
    <w:rsid w:val="00A94592"/>
    <w:rsid w:val="00A94679"/>
    <w:rsid w:val="00A9477D"/>
    <w:rsid w:val="00A94905"/>
    <w:rsid w:val="00A94FEE"/>
    <w:rsid w:val="00A9506A"/>
    <w:rsid w:val="00A950A9"/>
    <w:rsid w:val="00A951BC"/>
    <w:rsid w:val="00A95373"/>
    <w:rsid w:val="00A9548E"/>
    <w:rsid w:val="00A957A7"/>
    <w:rsid w:val="00A957C7"/>
    <w:rsid w:val="00A95AA5"/>
    <w:rsid w:val="00A95CC9"/>
    <w:rsid w:val="00A95CF3"/>
    <w:rsid w:val="00A95D20"/>
    <w:rsid w:val="00A95F28"/>
    <w:rsid w:val="00A95F88"/>
    <w:rsid w:val="00A9606F"/>
    <w:rsid w:val="00A961AD"/>
    <w:rsid w:val="00A961DA"/>
    <w:rsid w:val="00A9636C"/>
    <w:rsid w:val="00A963A7"/>
    <w:rsid w:val="00A96AAB"/>
    <w:rsid w:val="00A96C00"/>
    <w:rsid w:val="00A96C64"/>
    <w:rsid w:val="00A974A5"/>
    <w:rsid w:val="00A97655"/>
    <w:rsid w:val="00A977A1"/>
    <w:rsid w:val="00A978D2"/>
    <w:rsid w:val="00A97A09"/>
    <w:rsid w:val="00A97A20"/>
    <w:rsid w:val="00A97D2C"/>
    <w:rsid w:val="00A97E6E"/>
    <w:rsid w:val="00AA013F"/>
    <w:rsid w:val="00AA02A7"/>
    <w:rsid w:val="00AA090D"/>
    <w:rsid w:val="00AA0A4E"/>
    <w:rsid w:val="00AA125A"/>
    <w:rsid w:val="00AA151D"/>
    <w:rsid w:val="00AA157A"/>
    <w:rsid w:val="00AA15F6"/>
    <w:rsid w:val="00AA18D0"/>
    <w:rsid w:val="00AA18D5"/>
    <w:rsid w:val="00AA1A85"/>
    <w:rsid w:val="00AA1B0A"/>
    <w:rsid w:val="00AA1B41"/>
    <w:rsid w:val="00AA1CEE"/>
    <w:rsid w:val="00AA1D3C"/>
    <w:rsid w:val="00AA1EB1"/>
    <w:rsid w:val="00AA1F1F"/>
    <w:rsid w:val="00AA210E"/>
    <w:rsid w:val="00AA23F8"/>
    <w:rsid w:val="00AA2553"/>
    <w:rsid w:val="00AA2D3B"/>
    <w:rsid w:val="00AA337A"/>
    <w:rsid w:val="00AA34E6"/>
    <w:rsid w:val="00AA3552"/>
    <w:rsid w:val="00AA3715"/>
    <w:rsid w:val="00AA37B8"/>
    <w:rsid w:val="00AA3836"/>
    <w:rsid w:val="00AA3CCD"/>
    <w:rsid w:val="00AA3CF0"/>
    <w:rsid w:val="00AA3EE4"/>
    <w:rsid w:val="00AA4142"/>
    <w:rsid w:val="00AA4186"/>
    <w:rsid w:val="00AA42A2"/>
    <w:rsid w:val="00AA433E"/>
    <w:rsid w:val="00AA4386"/>
    <w:rsid w:val="00AA4415"/>
    <w:rsid w:val="00AA4477"/>
    <w:rsid w:val="00AA44BA"/>
    <w:rsid w:val="00AA453B"/>
    <w:rsid w:val="00AA46D0"/>
    <w:rsid w:val="00AA4893"/>
    <w:rsid w:val="00AA529D"/>
    <w:rsid w:val="00AA550A"/>
    <w:rsid w:val="00AA5612"/>
    <w:rsid w:val="00AA56C3"/>
    <w:rsid w:val="00AA5804"/>
    <w:rsid w:val="00AA5875"/>
    <w:rsid w:val="00AA58E3"/>
    <w:rsid w:val="00AA5C65"/>
    <w:rsid w:val="00AA5E24"/>
    <w:rsid w:val="00AA5E2A"/>
    <w:rsid w:val="00AA5F13"/>
    <w:rsid w:val="00AA671F"/>
    <w:rsid w:val="00AA6788"/>
    <w:rsid w:val="00AA69F9"/>
    <w:rsid w:val="00AA6BA8"/>
    <w:rsid w:val="00AA6C5F"/>
    <w:rsid w:val="00AA6E19"/>
    <w:rsid w:val="00AA741E"/>
    <w:rsid w:val="00AA74A3"/>
    <w:rsid w:val="00AA7C79"/>
    <w:rsid w:val="00AA7E9D"/>
    <w:rsid w:val="00AB0110"/>
    <w:rsid w:val="00AB0296"/>
    <w:rsid w:val="00AB0617"/>
    <w:rsid w:val="00AB071B"/>
    <w:rsid w:val="00AB0B09"/>
    <w:rsid w:val="00AB0C04"/>
    <w:rsid w:val="00AB0C56"/>
    <w:rsid w:val="00AB0D70"/>
    <w:rsid w:val="00AB0FCE"/>
    <w:rsid w:val="00AB1040"/>
    <w:rsid w:val="00AB11DF"/>
    <w:rsid w:val="00AB1941"/>
    <w:rsid w:val="00AB1DC4"/>
    <w:rsid w:val="00AB2465"/>
    <w:rsid w:val="00AB24B0"/>
    <w:rsid w:val="00AB2835"/>
    <w:rsid w:val="00AB2C86"/>
    <w:rsid w:val="00AB2CA1"/>
    <w:rsid w:val="00AB2FCC"/>
    <w:rsid w:val="00AB3085"/>
    <w:rsid w:val="00AB310B"/>
    <w:rsid w:val="00AB3395"/>
    <w:rsid w:val="00AB34E7"/>
    <w:rsid w:val="00AB36FA"/>
    <w:rsid w:val="00AB3815"/>
    <w:rsid w:val="00AB3BE0"/>
    <w:rsid w:val="00AB43E1"/>
    <w:rsid w:val="00AB459F"/>
    <w:rsid w:val="00AB4C56"/>
    <w:rsid w:val="00AB5220"/>
    <w:rsid w:val="00AB5230"/>
    <w:rsid w:val="00AB52FC"/>
    <w:rsid w:val="00AB530C"/>
    <w:rsid w:val="00AB55DD"/>
    <w:rsid w:val="00AB584F"/>
    <w:rsid w:val="00AB5994"/>
    <w:rsid w:val="00AB5C1F"/>
    <w:rsid w:val="00AB5C5F"/>
    <w:rsid w:val="00AB5E34"/>
    <w:rsid w:val="00AB603C"/>
    <w:rsid w:val="00AB604D"/>
    <w:rsid w:val="00AB60F5"/>
    <w:rsid w:val="00AB63C1"/>
    <w:rsid w:val="00AB6556"/>
    <w:rsid w:val="00AB67EF"/>
    <w:rsid w:val="00AB692C"/>
    <w:rsid w:val="00AB7208"/>
    <w:rsid w:val="00AB7228"/>
    <w:rsid w:val="00AB7230"/>
    <w:rsid w:val="00AB73FD"/>
    <w:rsid w:val="00AB761E"/>
    <w:rsid w:val="00AB776F"/>
    <w:rsid w:val="00AB792D"/>
    <w:rsid w:val="00AB7B79"/>
    <w:rsid w:val="00AB7BC8"/>
    <w:rsid w:val="00AB7C8D"/>
    <w:rsid w:val="00AB7EF8"/>
    <w:rsid w:val="00AC04F4"/>
    <w:rsid w:val="00AC090F"/>
    <w:rsid w:val="00AC0BD5"/>
    <w:rsid w:val="00AC0CE8"/>
    <w:rsid w:val="00AC0DC2"/>
    <w:rsid w:val="00AC0FC8"/>
    <w:rsid w:val="00AC19D9"/>
    <w:rsid w:val="00AC1AEF"/>
    <w:rsid w:val="00AC216D"/>
    <w:rsid w:val="00AC2258"/>
    <w:rsid w:val="00AC26D7"/>
    <w:rsid w:val="00AC278B"/>
    <w:rsid w:val="00AC27D1"/>
    <w:rsid w:val="00AC2C03"/>
    <w:rsid w:val="00AC3035"/>
    <w:rsid w:val="00AC387B"/>
    <w:rsid w:val="00AC3C96"/>
    <w:rsid w:val="00AC3DA0"/>
    <w:rsid w:val="00AC4078"/>
    <w:rsid w:val="00AC40E4"/>
    <w:rsid w:val="00AC45AE"/>
    <w:rsid w:val="00AC49E3"/>
    <w:rsid w:val="00AC4DE9"/>
    <w:rsid w:val="00AC4DF1"/>
    <w:rsid w:val="00AC5022"/>
    <w:rsid w:val="00AC53FC"/>
    <w:rsid w:val="00AC56A4"/>
    <w:rsid w:val="00AC5BAA"/>
    <w:rsid w:val="00AC6023"/>
    <w:rsid w:val="00AC62C2"/>
    <w:rsid w:val="00AC6320"/>
    <w:rsid w:val="00AC675F"/>
    <w:rsid w:val="00AC68CD"/>
    <w:rsid w:val="00AC6A49"/>
    <w:rsid w:val="00AC71D8"/>
    <w:rsid w:val="00AC7790"/>
    <w:rsid w:val="00AC78C6"/>
    <w:rsid w:val="00AC7B1E"/>
    <w:rsid w:val="00AC7ECC"/>
    <w:rsid w:val="00AD00D7"/>
    <w:rsid w:val="00AD05CA"/>
    <w:rsid w:val="00AD0705"/>
    <w:rsid w:val="00AD081A"/>
    <w:rsid w:val="00AD0944"/>
    <w:rsid w:val="00AD095A"/>
    <w:rsid w:val="00AD0C51"/>
    <w:rsid w:val="00AD0E7D"/>
    <w:rsid w:val="00AD110D"/>
    <w:rsid w:val="00AD1305"/>
    <w:rsid w:val="00AD18F5"/>
    <w:rsid w:val="00AD1B56"/>
    <w:rsid w:val="00AD1B66"/>
    <w:rsid w:val="00AD1C4A"/>
    <w:rsid w:val="00AD1D85"/>
    <w:rsid w:val="00AD2312"/>
    <w:rsid w:val="00AD245E"/>
    <w:rsid w:val="00AD24DE"/>
    <w:rsid w:val="00AD256E"/>
    <w:rsid w:val="00AD292E"/>
    <w:rsid w:val="00AD293E"/>
    <w:rsid w:val="00AD301B"/>
    <w:rsid w:val="00AD3079"/>
    <w:rsid w:val="00AD3406"/>
    <w:rsid w:val="00AD3596"/>
    <w:rsid w:val="00AD3690"/>
    <w:rsid w:val="00AD3834"/>
    <w:rsid w:val="00AD3B2B"/>
    <w:rsid w:val="00AD3B75"/>
    <w:rsid w:val="00AD3FB6"/>
    <w:rsid w:val="00AD4273"/>
    <w:rsid w:val="00AD4417"/>
    <w:rsid w:val="00AD4983"/>
    <w:rsid w:val="00AD4CD7"/>
    <w:rsid w:val="00AD4F25"/>
    <w:rsid w:val="00AD4F8B"/>
    <w:rsid w:val="00AD5437"/>
    <w:rsid w:val="00AD576E"/>
    <w:rsid w:val="00AD57EA"/>
    <w:rsid w:val="00AD582D"/>
    <w:rsid w:val="00AD5E98"/>
    <w:rsid w:val="00AD6043"/>
    <w:rsid w:val="00AD6189"/>
    <w:rsid w:val="00AD6387"/>
    <w:rsid w:val="00AD65D1"/>
    <w:rsid w:val="00AD693C"/>
    <w:rsid w:val="00AD6E82"/>
    <w:rsid w:val="00AD71DE"/>
    <w:rsid w:val="00AD7276"/>
    <w:rsid w:val="00AD7599"/>
    <w:rsid w:val="00AD7841"/>
    <w:rsid w:val="00AD7992"/>
    <w:rsid w:val="00AD7A6B"/>
    <w:rsid w:val="00AD7B2E"/>
    <w:rsid w:val="00AD7C77"/>
    <w:rsid w:val="00AD7F63"/>
    <w:rsid w:val="00AE037B"/>
    <w:rsid w:val="00AE081F"/>
    <w:rsid w:val="00AE08CD"/>
    <w:rsid w:val="00AE09FC"/>
    <w:rsid w:val="00AE0EFE"/>
    <w:rsid w:val="00AE15FF"/>
    <w:rsid w:val="00AE1D21"/>
    <w:rsid w:val="00AE1F47"/>
    <w:rsid w:val="00AE24CA"/>
    <w:rsid w:val="00AE267D"/>
    <w:rsid w:val="00AE2784"/>
    <w:rsid w:val="00AE2C02"/>
    <w:rsid w:val="00AE2CEB"/>
    <w:rsid w:val="00AE2EB9"/>
    <w:rsid w:val="00AE33B4"/>
    <w:rsid w:val="00AE341D"/>
    <w:rsid w:val="00AE34E9"/>
    <w:rsid w:val="00AE3BB3"/>
    <w:rsid w:val="00AE3CBD"/>
    <w:rsid w:val="00AE3DA2"/>
    <w:rsid w:val="00AE3E86"/>
    <w:rsid w:val="00AE40F6"/>
    <w:rsid w:val="00AE41CC"/>
    <w:rsid w:val="00AE458C"/>
    <w:rsid w:val="00AE48C4"/>
    <w:rsid w:val="00AE4962"/>
    <w:rsid w:val="00AE4AE9"/>
    <w:rsid w:val="00AE51C2"/>
    <w:rsid w:val="00AE5368"/>
    <w:rsid w:val="00AE540D"/>
    <w:rsid w:val="00AE5AA6"/>
    <w:rsid w:val="00AE5DFE"/>
    <w:rsid w:val="00AE605E"/>
    <w:rsid w:val="00AE6126"/>
    <w:rsid w:val="00AE61DB"/>
    <w:rsid w:val="00AE6363"/>
    <w:rsid w:val="00AE650F"/>
    <w:rsid w:val="00AE65D6"/>
    <w:rsid w:val="00AE6627"/>
    <w:rsid w:val="00AE6AC0"/>
    <w:rsid w:val="00AE72C8"/>
    <w:rsid w:val="00AE76F9"/>
    <w:rsid w:val="00AE79B2"/>
    <w:rsid w:val="00AF0304"/>
    <w:rsid w:val="00AF0532"/>
    <w:rsid w:val="00AF063F"/>
    <w:rsid w:val="00AF0BD3"/>
    <w:rsid w:val="00AF0DAC"/>
    <w:rsid w:val="00AF1174"/>
    <w:rsid w:val="00AF11FD"/>
    <w:rsid w:val="00AF125F"/>
    <w:rsid w:val="00AF12BE"/>
    <w:rsid w:val="00AF14B5"/>
    <w:rsid w:val="00AF1528"/>
    <w:rsid w:val="00AF17BC"/>
    <w:rsid w:val="00AF17C8"/>
    <w:rsid w:val="00AF1886"/>
    <w:rsid w:val="00AF2B60"/>
    <w:rsid w:val="00AF2C28"/>
    <w:rsid w:val="00AF2C63"/>
    <w:rsid w:val="00AF2F97"/>
    <w:rsid w:val="00AF347E"/>
    <w:rsid w:val="00AF3881"/>
    <w:rsid w:val="00AF38FB"/>
    <w:rsid w:val="00AF39FD"/>
    <w:rsid w:val="00AF3A92"/>
    <w:rsid w:val="00AF3C20"/>
    <w:rsid w:val="00AF3C61"/>
    <w:rsid w:val="00AF45E3"/>
    <w:rsid w:val="00AF47E6"/>
    <w:rsid w:val="00AF49DE"/>
    <w:rsid w:val="00AF4AE0"/>
    <w:rsid w:val="00AF4D01"/>
    <w:rsid w:val="00AF4EE9"/>
    <w:rsid w:val="00AF52A4"/>
    <w:rsid w:val="00AF52C2"/>
    <w:rsid w:val="00AF558D"/>
    <w:rsid w:val="00AF597B"/>
    <w:rsid w:val="00AF5A2F"/>
    <w:rsid w:val="00AF5B19"/>
    <w:rsid w:val="00AF5B49"/>
    <w:rsid w:val="00AF5F96"/>
    <w:rsid w:val="00AF5FA8"/>
    <w:rsid w:val="00AF61F2"/>
    <w:rsid w:val="00AF6406"/>
    <w:rsid w:val="00AF64B8"/>
    <w:rsid w:val="00AF6977"/>
    <w:rsid w:val="00AF6BE5"/>
    <w:rsid w:val="00AF6D42"/>
    <w:rsid w:val="00AF6F59"/>
    <w:rsid w:val="00AF6FE1"/>
    <w:rsid w:val="00AF7112"/>
    <w:rsid w:val="00AF75D4"/>
    <w:rsid w:val="00AF75FE"/>
    <w:rsid w:val="00AF7DCC"/>
    <w:rsid w:val="00AF7FCF"/>
    <w:rsid w:val="00B0027D"/>
    <w:rsid w:val="00B005CD"/>
    <w:rsid w:val="00B00997"/>
    <w:rsid w:val="00B00AF1"/>
    <w:rsid w:val="00B00D43"/>
    <w:rsid w:val="00B00DA9"/>
    <w:rsid w:val="00B00E32"/>
    <w:rsid w:val="00B00E57"/>
    <w:rsid w:val="00B00F02"/>
    <w:rsid w:val="00B015EE"/>
    <w:rsid w:val="00B0184C"/>
    <w:rsid w:val="00B018DE"/>
    <w:rsid w:val="00B01AA4"/>
    <w:rsid w:val="00B01B66"/>
    <w:rsid w:val="00B01DD5"/>
    <w:rsid w:val="00B021C6"/>
    <w:rsid w:val="00B023A3"/>
    <w:rsid w:val="00B0242D"/>
    <w:rsid w:val="00B027B8"/>
    <w:rsid w:val="00B02829"/>
    <w:rsid w:val="00B02970"/>
    <w:rsid w:val="00B02B2E"/>
    <w:rsid w:val="00B02D1F"/>
    <w:rsid w:val="00B031A3"/>
    <w:rsid w:val="00B03269"/>
    <w:rsid w:val="00B036EB"/>
    <w:rsid w:val="00B03827"/>
    <w:rsid w:val="00B03C09"/>
    <w:rsid w:val="00B03E21"/>
    <w:rsid w:val="00B03E9E"/>
    <w:rsid w:val="00B04213"/>
    <w:rsid w:val="00B04396"/>
    <w:rsid w:val="00B046CD"/>
    <w:rsid w:val="00B04B69"/>
    <w:rsid w:val="00B04C1C"/>
    <w:rsid w:val="00B04DD6"/>
    <w:rsid w:val="00B051FE"/>
    <w:rsid w:val="00B0560E"/>
    <w:rsid w:val="00B0575E"/>
    <w:rsid w:val="00B05F03"/>
    <w:rsid w:val="00B05FF4"/>
    <w:rsid w:val="00B065CF"/>
    <w:rsid w:val="00B0688E"/>
    <w:rsid w:val="00B0698D"/>
    <w:rsid w:val="00B06B06"/>
    <w:rsid w:val="00B06B2A"/>
    <w:rsid w:val="00B06BEA"/>
    <w:rsid w:val="00B06BFA"/>
    <w:rsid w:val="00B06D74"/>
    <w:rsid w:val="00B06F16"/>
    <w:rsid w:val="00B072D8"/>
    <w:rsid w:val="00B0739B"/>
    <w:rsid w:val="00B078B8"/>
    <w:rsid w:val="00B07C02"/>
    <w:rsid w:val="00B07D9B"/>
    <w:rsid w:val="00B104A7"/>
    <w:rsid w:val="00B104FB"/>
    <w:rsid w:val="00B10770"/>
    <w:rsid w:val="00B10871"/>
    <w:rsid w:val="00B108F4"/>
    <w:rsid w:val="00B10B70"/>
    <w:rsid w:val="00B10D5E"/>
    <w:rsid w:val="00B11275"/>
    <w:rsid w:val="00B11781"/>
    <w:rsid w:val="00B117B1"/>
    <w:rsid w:val="00B11AE9"/>
    <w:rsid w:val="00B11CEA"/>
    <w:rsid w:val="00B11DDF"/>
    <w:rsid w:val="00B12229"/>
    <w:rsid w:val="00B12366"/>
    <w:rsid w:val="00B123CA"/>
    <w:rsid w:val="00B125EA"/>
    <w:rsid w:val="00B125F6"/>
    <w:rsid w:val="00B12804"/>
    <w:rsid w:val="00B12AF5"/>
    <w:rsid w:val="00B12D3C"/>
    <w:rsid w:val="00B12E33"/>
    <w:rsid w:val="00B12EAD"/>
    <w:rsid w:val="00B13173"/>
    <w:rsid w:val="00B1328E"/>
    <w:rsid w:val="00B1348E"/>
    <w:rsid w:val="00B1352F"/>
    <w:rsid w:val="00B135B0"/>
    <w:rsid w:val="00B13821"/>
    <w:rsid w:val="00B13BD1"/>
    <w:rsid w:val="00B13EAF"/>
    <w:rsid w:val="00B141D5"/>
    <w:rsid w:val="00B145BE"/>
    <w:rsid w:val="00B14765"/>
    <w:rsid w:val="00B147EC"/>
    <w:rsid w:val="00B14A25"/>
    <w:rsid w:val="00B14A82"/>
    <w:rsid w:val="00B14CB3"/>
    <w:rsid w:val="00B14F33"/>
    <w:rsid w:val="00B150B3"/>
    <w:rsid w:val="00B151BC"/>
    <w:rsid w:val="00B1529A"/>
    <w:rsid w:val="00B15D9E"/>
    <w:rsid w:val="00B15F80"/>
    <w:rsid w:val="00B15FB2"/>
    <w:rsid w:val="00B166C5"/>
    <w:rsid w:val="00B16751"/>
    <w:rsid w:val="00B1699F"/>
    <w:rsid w:val="00B16B3B"/>
    <w:rsid w:val="00B16BF4"/>
    <w:rsid w:val="00B17005"/>
    <w:rsid w:val="00B1713E"/>
    <w:rsid w:val="00B1727F"/>
    <w:rsid w:val="00B17418"/>
    <w:rsid w:val="00B1761F"/>
    <w:rsid w:val="00B177A6"/>
    <w:rsid w:val="00B1786D"/>
    <w:rsid w:val="00B1796E"/>
    <w:rsid w:val="00B17A4A"/>
    <w:rsid w:val="00B17A92"/>
    <w:rsid w:val="00B201BC"/>
    <w:rsid w:val="00B2024E"/>
    <w:rsid w:val="00B203B7"/>
    <w:rsid w:val="00B203C8"/>
    <w:rsid w:val="00B205DE"/>
    <w:rsid w:val="00B2090E"/>
    <w:rsid w:val="00B20A04"/>
    <w:rsid w:val="00B20AC3"/>
    <w:rsid w:val="00B20B54"/>
    <w:rsid w:val="00B20B65"/>
    <w:rsid w:val="00B20E96"/>
    <w:rsid w:val="00B20FB9"/>
    <w:rsid w:val="00B21178"/>
    <w:rsid w:val="00B21182"/>
    <w:rsid w:val="00B213FF"/>
    <w:rsid w:val="00B21777"/>
    <w:rsid w:val="00B21976"/>
    <w:rsid w:val="00B219B9"/>
    <w:rsid w:val="00B21B36"/>
    <w:rsid w:val="00B21BB4"/>
    <w:rsid w:val="00B21DE7"/>
    <w:rsid w:val="00B21E08"/>
    <w:rsid w:val="00B220DB"/>
    <w:rsid w:val="00B22214"/>
    <w:rsid w:val="00B2247E"/>
    <w:rsid w:val="00B224C8"/>
    <w:rsid w:val="00B226BD"/>
    <w:rsid w:val="00B22798"/>
    <w:rsid w:val="00B22893"/>
    <w:rsid w:val="00B22A34"/>
    <w:rsid w:val="00B22D8A"/>
    <w:rsid w:val="00B22E87"/>
    <w:rsid w:val="00B23198"/>
    <w:rsid w:val="00B2354C"/>
    <w:rsid w:val="00B23953"/>
    <w:rsid w:val="00B23987"/>
    <w:rsid w:val="00B23B76"/>
    <w:rsid w:val="00B23D85"/>
    <w:rsid w:val="00B23F6F"/>
    <w:rsid w:val="00B24427"/>
    <w:rsid w:val="00B24575"/>
    <w:rsid w:val="00B2458C"/>
    <w:rsid w:val="00B2463A"/>
    <w:rsid w:val="00B24B49"/>
    <w:rsid w:val="00B24CC0"/>
    <w:rsid w:val="00B24CEB"/>
    <w:rsid w:val="00B251B3"/>
    <w:rsid w:val="00B2534D"/>
    <w:rsid w:val="00B253FC"/>
    <w:rsid w:val="00B2546B"/>
    <w:rsid w:val="00B256A7"/>
    <w:rsid w:val="00B25B29"/>
    <w:rsid w:val="00B25BE1"/>
    <w:rsid w:val="00B25CC8"/>
    <w:rsid w:val="00B25D47"/>
    <w:rsid w:val="00B25EAC"/>
    <w:rsid w:val="00B261C3"/>
    <w:rsid w:val="00B2624E"/>
    <w:rsid w:val="00B26A7A"/>
    <w:rsid w:val="00B26AD0"/>
    <w:rsid w:val="00B26B65"/>
    <w:rsid w:val="00B26BE7"/>
    <w:rsid w:val="00B26EC1"/>
    <w:rsid w:val="00B270AD"/>
    <w:rsid w:val="00B2722B"/>
    <w:rsid w:val="00B27464"/>
    <w:rsid w:val="00B27501"/>
    <w:rsid w:val="00B27515"/>
    <w:rsid w:val="00B275A0"/>
    <w:rsid w:val="00B27634"/>
    <w:rsid w:val="00B2783C"/>
    <w:rsid w:val="00B27A5E"/>
    <w:rsid w:val="00B27BE1"/>
    <w:rsid w:val="00B27CE9"/>
    <w:rsid w:val="00B27CF7"/>
    <w:rsid w:val="00B3000F"/>
    <w:rsid w:val="00B301B5"/>
    <w:rsid w:val="00B301B8"/>
    <w:rsid w:val="00B3021C"/>
    <w:rsid w:val="00B30457"/>
    <w:rsid w:val="00B30840"/>
    <w:rsid w:val="00B30A86"/>
    <w:rsid w:val="00B30AC0"/>
    <w:rsid w:val="00B30B78"/>
    <w:rsid w:val="00B30EF2"/>
    <w:rsid w:val="00B310F7"/>
    <w:rsid w:val="00B31147"/>
    <w:rsid w:val="00B31611"/>
    <w:rsid w:val="00B31702"/>
    <w:rsid w:val="00B319C2"/>
    <w:rsid w:val="00B31A56"/>
    <w:rsid w:val="00B31BDC"/>
    <w:rsid w:val="00B31CAA"/>
    <w:rsid w:val="00B31D9F"/>
    <w:rsid w:val="00B31DA2"/>
    <w:rsid w:val="00B31DCB"/>
    <w:rsid w:val="00B31FD1"/>
    <w:rsid w:val="00B322A5"/>
    <w:rsid w:val="00B323B5"/>
    <w:rsid w:val="00B32A4B"/>
    <w:rsid w:val="00B32EE1"/>
    <w:rsid w:val="00B32FE3"/>
    <w:rsid w:val="00B33214"/>
    <w:rsid w:val="00B33297"/>
    <w:rsid w:val="00B3384B"/>
    <w:rsid w:val="00B348F0"/>
    <w:rsid w:val="00B34E36"/>
    <w:rsid w:val="00B35064"/>
    <w:rsid w:val="00B35276"/>
    <w:rsid w:val="00B352B4"/>
    <w:rsid w:val="00B3534C"/>
    <w:rsid w:val="00B3569D"/>
    <w:rsid w:val="00B35859"/>
    <w:rsid w:val="00B35926"/>
    <w:rsid w:val="00B35A83"/>
    <w:rsid w:val="00B35DC2"/>
    <w:rsid w:val="00B35FF2"/>
    <w:rsid w:val="00B36B0A"/>
    <w:rsid w:val="00B36B1F"/>
    <w:rsid w:val="00B372AB"/>
    <w:rsid w:val="00B37779"/>
    <w:rsid w:val="00B377D8"/>
    <w:rsid w:val="00B37B45"/>
    <w:rsid w:val="00B37DCF"/>
    <w:rsid w:val="00B37EFA"/>
    <w:rsid w:val="00B37EFF"/>
    <w:rsid w:val="00B400F7"/>
    <w:rsid w:val="00B40151"/>
    <w:rsid w:val="00B40426"/>
    <w:rsid w:val="00B40597"/>
    <w:rsid w:val="00B4085B"/>
    <w:rsid w:val="00B4088E"/>
    <w:rsid w:val="00B40BD8"/>
    <w:rsid w:val="00B41090"/>
    <w:rsid w:val="00B4112D"/>
    <w:rsid w:val="00B412C8"/>
    <w:rsid w:val="00B41604"/>
    <w:rsid w:val="00B41FB9"/>
    <w:rsid w:val="00B420F0"/>
    <w:rsid w:val="00B422A6"/>
    <w:rsid w:val="00B423FC"/>
    <w:rsid w:val="00B425F5"/>
    <w:rsid w:val="00B42802"/>
    <w:rsid w:val="00B4295A"/>
    <w:rsid w:val="00B429A2"/>
    <w:rsid w:val="00B42CC0"/>
    <w:rsid w:val="00B42E20"/>
    <w:rsid w:val="00B43055"/>
    <w:rsid w:val="00B4367F"/>
    <w:rsid w:val="00B43684"/>
    <w:rsid w:val="00B43E6E"/>
    <w:rsid w:val="00B442E3"/>
    <w:rsid w:val="00B4437D"/>
    <w:rsid w:val="00B444C5"/>
    <w:rsid w:val="00B4453D"/>
    <w:rsid w:val="00B448E6"/>
    <w:rsid w:val="00B451DC"/>
    <w:rsid w:val="00B454CD"/>
    <w:rsid w:val="00B454FA"/>
    <w:rsid w:val="00B4564C"/>
    <w:rsid w:val="00B456D4"/>
    <w:rsid w:val="00B45BB6"/>
    <w:rsid w:val="00B461E1"/>
    <w:rsid w:val="00B46BD4"/>
    <w:rsid w:val="00B46C44"/>
    <w:rsid w:val="00B46CEE"/>
    <w:rsid w:val="00B46E54"/>
    <w:rsid w:val="00B4718F"/>
    <w:rsid w:val="00B4729E"/>
    <w:rsid w:val="00B47313"/>
    <w:rsid w:val="00B476BA"/>
    <w:rsid w:val="00B479C2"/>
    <w:rsid w:val="00B47E0A"/>
    <w:rsid w:val="00B47EBC"/>
    <w:rsid w:val="00B50575"/>
    <w:rsid w:val="00B50817"/>
    <w:rsid w:val="00B50938"/>
    <w:rsid w:val="00B50E27"/>
    <w:rsid w:val="00B50E97"/>
    <w:rsid w:val="00B50F96"/>
    <w:rsid w:val="00B51062"/>
    <w:rsid w:val="00B5118E"/>
    <w:rsid w:val="00B512AD"/>
    <w:rsid w:val="00B513EF"/>
    <w:rsid w:val="00B51C05"/>
    <w:rsid w:val="00B51D45"/>
    <w:rsid w:val="00B51FD8"/>
    <w:rsid w:val="00B51FF0"/>
    <w:rsid w:val="00B520AA"/>
    <w:rsid w:val="00B5227D"/>
    <w:rsid w:val="00B524CD"/>
    <w:rsid w:val="00B529B2"/>
    <w:rsid w:val="00B52B1E"/>
    <w:rsid w:val="00B52E3D"/>
    <w:rsid w:val="00B52E9B"/>
    <w:rsid w:val="00B53260"/>
    <w:rsid w:val="00B53998"/>
    <w:rsid w:val="00B53ACB"/>
    <w:rsid w:val="00B53C64"/>
    <w:rsid w:val="00B53D0B"/>
    <w:rsid w:val="00B53F4A"/>
    <w:rsid w:val="00B540A3"/>
    <w:rsid w:val="00B542F2"/>
    <w:rsid w:val="00B54346"/>
    <w:rsid w:val="00B5462A"/>
    <w:rsid w:val="00B54687"/>
    <w:rsid w:val="00B54DCA"/>
    <w:rsid w:val="00B5502B"/>
    <w:rsid w:val="00B55326"/>
    <w:rsid w:val="00B5553F"/>
    <w:rsid w:val="00B556CB"/>
    <w:rsid w:val="00B55753"/>
    <w:rsid w:val="00B55859"/>
    <w:rsid w:val="00B55AB1"/>
    <w:rsid w:val="00B55DFA"/>
    <w:rsid w:val="00B562B0"/>
    <w:rsid w:val="00B57134"/>
    <w:rsid w:val="00B573C5"/>
    <w:rsid w:val="00B576D6"/>
    <w:rsid w:val="00B57A3E"/>
    <w:rsid w:val="00B57A55"/>
    <w:rsid w:val="00B57AA2"/>
    <w:rsid w:val="00B57C45"/>
    <w:rsid w:val="00B57E4A"/>
    <w:rsid w:val="00B57E79"/>
    <w:rsid w:val="00B6020D"/>
    <w:rsid w:val="00B6043C"/>
    <w:rsid w:val="00B606DB"/>
    <w:rsid w:val="00B607FD"/>
    <w:rsid w:val="00B60AC1"/>
    <w:rsid w:val="00B60D9C"/>
    <w:rsid w:val="00B61166"/>
    <w:rsid w:val="00B613C2"/>
    <w:rsid w:val="00B618C2"/>
    <w:rsid w:val="00B61A08"/>
    <w:rsid w:val="00B61AED"/>
    <w:rsid w:val="00B61C2B"/>
    <w:rsid w:val="00B61C4E"/>
    <w:rsid w:val="00B62487"/>
    <w:rsid w:val="00B62541"/>
    <w:rsid w:val="00B628B6"/>
    <w:rsid w:val="00B629DC"/>
    <w:rsid w:val="00B62C24"/>
    <w:rsid w:val="00B62C25"/>
    <w:rsid w:val="00B62F11"/>
    <w:rsid w:val="00B62FD6"/>
    <w:rsid w:val="00B6311E"/>
    <w:rsid w:val="00B63810"/>
    <w:rsid w:val="00B6387C"/>
    <w:rsid w:val="00B638EF"/>
    <w:rsid w:val="00B6395B"/>
    <w:rsid w:val="00B63C9C"/>
    <w:rsid w:val="00B63D96"/>
    <w:rsid w:val="00B63EAF"/>
    <w:rsid w:val="00B63F48"/>
    <w:rsid w:val="00B63FCC"/>
    <w:rsid w:val="00B6438B"/>
    <w:rsid w:val="00B64519"/>
    <w:rsid w:val="00B64682"/>
    <w:rsid w:val="00B6493C"/>
    <w:rsid w:val="00B649BE"/>
    <w:rsid w:val="00B64AD0"/>
    <w:rsid w:val="00B65480"/>
    <w:rsid w:val="00B655BA"/>
    <w:rsid w:val="00B66093"/>
    <w:rsid w:val="00B667A3"/>
    <w:rsid w:val="00B667EE"/>
    <w:rsid w:val="00B66AA1"/>
    <w:rsid w:val="00B66B8E"/>
    <w:rsid w:val="00B66D52"/>
    <w:rsid w:val="00B66EA3"/>
    <w:rsid w:val="00B67435"/>
    <w:rsid w:val="00B67753"/>
    <w:rsid w:val="00B6783F"/>
    <w:rsid w:val="00B67849"/>
    <w:rsid w:val="00B678F2"/>
    <w:rsid w:val="00B67EBE"/>
    <w:rsid w:val="00B7015A"/>
    <w:rsid w:val="00B707D0"/>
    <w:rsid w:val="00B7083B"/>
    <w:rsid w:val="00B70936"/>
    <w:rsid w:val="00B709B6"/>
    <w:rsid w:val="00B70F33"/>
    <w:rsid w:val="00B7117F"/>
    <w:rsid w:val="00B711FB"/>
    <w:rsid w:val="00B7123B"/>
    <w:rsid w:val="00B71646"/>
    <w:rsid w:val="00B716DB"/>
    <w:rsid w:val="00B7186A"/>
    <w:rsid w:val="00B71928"/>
    <w:rsid w:val="00B71D76"/>
    <w:rsid w:val="00B72756"/>
    <w:rsid w:val="00B727C8"/>
    <w:rsid w:val="00B727E6"/>
    <w:rsid w:val="00B72903"/>
    <w:rsid w:val="00B729FF"/>
    <w:rsid w:val="00B72A9B"/>
    <w:rsid w:val="00B72E1E"/>
    <w:rsid w:val="00B73134"/>
    <w:rsid w:val="00B73278"/>
    <w:rsid w:val="00B737F9"/>
    <w:rsid w:val="00B73A73"/>
    <w:rsid w:val="00B73AAD"/>
    <w:rsid w:val="00B73B0D"/>
    <w:rsid w:val="00B73BE3"/>
    <w:rsid w:val="00B74115"/>
    <w:rsid w:val="00B74716"/>
    <w:rsid w:val="00B74737"/>
    <w:rsid w:val="00B74825"/>
    <w:rsid w:val="00B74875"/>
    <w:rsid w:val="00B74B70"/>
    <w:rsid w:val="00B7520C"/>
    <w:rsid w:val="00B756AA"/>
    <w:rsid w:val="00B756F8"/>
    <w:rsid w:val="00B7577D"/>
    <w:rsid w:val="00B75913"/>
    <w:rsid w:val="00B75C0D"/>
    <w:rsid w:val="00B75C4D"/>
    <w:rsid w:val="00B75C98"/>
    <w:rsid w:val="00B75D1A"/>
    <w:rsid w:val="00B75DB1"/>
    <w:rsid w:val="00B75E06"/>
    <w:rsid w:val="00B76023"/>
    <w:rsid w:val="00B760A7"/>
    <w:rsid w:val="00B761A9"/>
    <w:rsid w:val="00B762F0"/>
    <w:rsid w:val="00B76422"/>
    <w:rsid w:val="00B765D4"/>
    <w:rsid w:val="00B76856"/>
    <w:rsid w:val="00B76C8D"/>
    <w:rsid w:val="00B77129"/>
    <w:rsid w:val="00B77255"/>
    <w:rsid w:val="00B77552"/>
    <w:rsid w:val="00B7793D"/>
    <w:rsid w:val="00B779AF"/>
    <w:rsid w:val="00B77B27"/>
    <w:rsid w:val="00B77B78"/>
    <w:rsid w:val="00B77F06"/>
    <w:rsid w:val="00B800B1"/>
    <w:rsid w:val="00B800FF"/>
    <w:rsid w:val="00B80614"/>
    <w:rsid w:val="00B80ADF"/>
    <w:rsid w:val="00B80E17"/>
    <w:rsid w:val="00B80FE4"/>
    <w:rsid w:val="00B8121D"/>
    <w:rsid w:val="00B8131A"/>
    <w:rsid w:val="00B8131D"/>
    <w:rsid w:val="00B8150B"/>
    <w:rsid w:val="00B8184E"/>
    <w:rsid w:val="00B81C7A"/>
    <w:rsid w:val="00B8235F"/>
    <w:rsid w:val="00B823E9"/>
    <w:rsid w:val="00B824DA"/>
    <w:rsid w:val="00B8313B"/>
    <w:rsid w:val="00B8345C"/>
    <w:rsid w:val="00B835BF"/>
    <w:rsid w:val="00B83802"/>
    <w:rsid w:val="00B844AF"/>
    <w:rsid w:val="00B852AD"/>
    <w:rsid w:val="00B85797"/>
    <w:rsid w:val="00B85B67"/>
    <w:rsid w:val="00B85C90"/>
    <w:rsid w:val="00B85CEB"/>
    <w:rsid w:val="00B86039"/>
    <w:rsid w:val="00B8623B"/>
    <w:rsid w:val="00B862CB"/>
    <w:rsid w:val="00B86C7D"/>
    <w:rsid w:val="00B86DA0"/>
    <w:rsid w:val="00B86EBE"/>
    <w:rsid w:val="00B871ED"/>
    <w:rsid w:val="00B8722F"/>
    <w:rsid w:val="00B87272"/>
    <w:rsid w:val="00B87656"/>
    <w:rsid w:val="00B87872"/>
    <w:rsid w:val="00B87ABD"/>
    <w:rsid w:val="00B87B58"/>
    <w:rsid w:val="00B87C35"/>
    <w:rsid w:val="00B87CD3"/>
    <w:rsid w:val="00B900CC"/>
    <w:rsid w:val="00B90139"/>
    <w:rsid w:val="00B9034A"/>
    <w:rsid w:val="00B906BC"/>
    <w:rsid w:val="00B908D5"/>
    <w:rsid w:val="00B90BBD"/>
    <w:rsid w:val="00B90F87"/>
    <w:rsid w:val="00B915F3"/>
    <w:rsid w:val="00B91BCB"/>
    <w:rsid w:val="00B9241C"/>
    <w:rsid w:val="00B92C8B"/>
    <w:rsid w:val="00B92CA8"/>
    <w:rsid w:val="00B92E77"/>
    <w:rsid w:val="00B92ED6"/>
    <w:rsid w:val="00B9315D"/>
    <w:rsid w:val="00B93183"/>
    <w:rsid w:val="00B936B8"/>
    <w:rsid w:val="00B93935"/>
    <w:rsid w:val="00B93EA2"/>
    <w:rsid w:val="00B940BD"/>
    <w:rsid w:val="00B943A6"/>
    <w:rsid w:val="00B943BC"/>
    <w:rsid w:val="00B9450F"/>
    <w:rsid w:val="00B945B9"/>
    <w:rsid w:val="00B94716"/>
    <w:rsid w:val="00B94AA4"/>
    <w:rsid w:val="00B94FD9"/>
    <w:rsid w:val="00B951D1"/>
    <w:rsid w:val="00B957D9"/>
    <w:rsid w:val="00B9585F"/>
    <w:rsid w:val="00B959DC"/>
    <w:rsid w:val="00B95E75"/>
    <w:rsid w:val="00B95ED5"/>
    <w:rsid w:val="00B96253"/>
    <w:rsid w:val="00B9695A"/>
    <w:rsid w:val="00B9701D"/>
    <w:rsid w:val="00B974DD"/>
    <w:rsid w:val="00B978B7"/>
    <w:rsid w:val="00B97A3A"/>
    <w:rsid w:val="00BA0139"/>
    <w:rsid w:val="00BA0359"/>
    <w:rsid w:val="00BA0ED8"/>
    <w:rsid w:val="00BA106F"/>
    <w:rsid w:val="00BA1092"/>
    <w:rsid w:val="00BA1177"/>
    <w:rsid w:val="00BA1183"/>
    <w:rsid w:val="00BA13CA"/>
    <w:rsid w:val="00BA1624"/>
    <w:rsid w:val="00BA187A"/>
    <w:rsid w:val="00BA1C23"/>
    <w:rsid w:val="00BA1D86"/>
    <w:rsid w:val="00BA25D3"/>
    <w:rsid w:val="00BA26C0"/>
    <w:rsid w:val="00BA2CEC"/>
    <w:rsid w:val="00BA2FA5"/>
    <w:rsid w:val="00BA30B5"/>
    <w:rsid w:val="00BA30BD"/>
    <w:rsid w:val="00BA3559"/>
    <w:rsid w:val="00BA35C5"/>
    <w:rsid w:val="00BA36A2"/>
    <w:rsid w:val="00BA36D7"/>
    <w:rsid w:val="00BA373C"/>
    <w:rsid w:val="00BA380F"/>
    <w:rsid w:val="00BA3840"/>
    <w:rsid w:val="00BA38AF"/>
    <w:rsid w:val="00BA38DB"/>
    <w:rsid w:val="00BA3907"/>
    <w:rsid w:val="00BA3EA1"/>
    <w:rsid w:val="00BA3F06"/>
    <w:rsid w:val="00BA4502"/>
    <w:rsid w:val="00BA453E"/>
    <w:rsid w:val="00BA47D2"/>
    <w:rsid w:val="00BA484D"/>
    <w:rsid w:val="00BA4B8C"/>
    <w:rsid w:val="00BA4CFA"/>
    <w:rsid w:val="00BA4F03"/>
    <w:rsid w:val="00BA530D"/>
    <w:rsid w:val="00BA53BA"/>
    <w:rsid w:val="00BA53BB"/>
    <w:rsid w:val="00BA5521"/>
    <w:rsid w:val="00BA55D5"/>
    <w:rsid w:val="00BA5748"/>
    <w:rsid w:val="00BA61AF"/>
    <w:rsid w:val="00BA625E"/>
    <w:rsid w:val="00BA684D"/>
    <w:rsid w:val="00BA6EB8"/>
    <w:rsid w:val="00BA6F64"/>
    <w:rsid w:val="00BA72C3"/>
    <w:rsid w:val="00BA74E9"/>
    <w:rsid w:val="00BA758A"/>
    <w:rsid w:val="00BA768E"/>
    <w:rsid w:val="00BA7DC0"/>
    <w:rsid w:val="00BB0023"/>
    <w:rsid w:val="00BB00D6"/>
    <w:rsid w:val="00BB023B"/>
    <w:rsid w:val="00BB0425"/>
    <w:rsid w:val="00BB0477"/>
    <w:rsid w:val="00BB04D1"/>
    <w:rsid w:val="00BB07E6"/>
    <w:rsid w:val="00BB0A7A"/>
    <w:rsid w:val="00BB0BF8"/>
    <w:rsid w:val="00BB1481"/>
    <w:rsid w:val="00BB14BD"/>
    <w:rsid w:val="00BB1502"/>
    <w:rsid w:val="00BB1576"/>
    <w:rsid w:val="00BB1773"/>
    <w:rsid w:val="00BB18EB"/>
    <w:rsid w:val="00BB1926"/>
    <w:rsid w:val="00BB1958"/>
    <w:rsid w:val="00BB2014"/>
    <w:rsid w:val="00BB22BC"/>
    <w:rsid w:val="00BB2478"/>
    <w:rsid w:val="00BB2731"/>
    <w:rsid w:val="00BB27AF"/>
    <w:rsid w:val="00BB2836"/>
    <w:rsid w:val="00BB2903"/>
    <w:rsid w:val="00BB295A"/>
    <w:rsid w:val="00BB2B9E"/>
    <w:rsid w:val="00BB2CA2"/>
    <w:rsid w:val="00BB311B"/>
    <w:rsid w:val="00BB31D1"/>
    <w:rsid w:val="00BB35A1"/>
    <w:rsid w:val="00BB3610"/>
    <w:rsid w:val="00BB3688"/>
    <w:rsid w:val="00BB37E9"/>
    <w:rsid w:val="00BB39EA"/>
    <w:rsid w:val="00BB3AD8"/>
    <w:rsid w:val="00BB3E5B"/>
    <w:rsid w:val="00BB3FD4"/>
    <w:rsid w:val="00BB40ED"/>
    <w:rsid w:val="00BB4153"/>
    <w:rsid w:val="00BB4280"/>
    <w:rsid w:val="00BB42A3"/>
    <w:rsid w:val="00BB4CBE"/>
    <w:rsid w:val="00BB4FA7"/>
    <w:rsid w:val="00BB507A"/>
    <w:rsid w:val="00BB511F"/>
    <w:rsid w:val="00BB529F"/>
    <w:rsid w:val="00BB5312"/>
    <w:rsid w:val="00BB5906"/>
    <w:rsid w:val="00BB59CE"/>
    <w:rsid w:val="00BB5EBC"/>
    <w:rsid w:val="00BB6046"/>
    <w:rsid w:val="00BB6AA8"/>
    <w:rsid w:val="00BB6C8B"/>
    <w:rsid w:val="00BB6CE4"/>
    <w:rsid w:val="00BB7041"/>
    <w:rsid w:val="00BB7044"/>
    <w:rsid w:val="00BB70C1"/>
    <w:rsid w:val="00BB739D"/>
    <w:rsid w:val="00BB73A2"/>
    <w:rsid w:val="00BB7660"/>
    <w:rsid w:val="00BB7886"/>
    <w:rsid w:val="00BB7981"/>
    <w:rsid w:val="00BB79B0"/>
    <w:rsid w:val="00BB7AA8"/>
    <w:rsid w:val="00BB7C73"/>
    <w:rsid w:val="00BB7D13"/>
    <w:rsid w:val="00BB7E30"/>
    <w:rsid w:val="00BB7ED4"/>
    <w:rsid w:val="00BB7FDE"/>
    <w:rsid w:val="00BC01A5"/>
    <w:rsid w:val="00BC09B3"/>
    <w:rsid w:val="00BC0C96"/>
    <w:rsid w:val="00BC0E27"/>
    <w:rsid w:val="00BC10FD"/>
    <w:rsid w:val="00BC1375"/>
    <w:rsid w:val="00BC1871"/>
    <w:rsid w:val="00BC1A19"/>
    <w:rsid w:val="00BC1C76"/>
    <w:rsid w:val="00BC1FA1"/>
    <w:rsid w:val="00BC2110"/>
    <w:rsid w:val="00BC21C2"/>
    <w:rsid w:val="00BC293F"/>
    <w:rsid w:val="00BC2C1D"/>
    <w:rsid w:val="00BC2E09"/>
    <w:rsid w:val="00BC2F88"/>
    <w:rsid w:val="00BC3181"/>
    <w:rsid w:val="00BC36FA"/>
    <w:rsid w:val="00BC37B5"/>
    <w:rsid w:val="00BC383D"/>
    <w:rsid w:val="00BC3B2C"/>
    <w:rsid w:val="00BC3B5B"/>
    <w:rsid w:val="00BC3F91"/>
    <w:rsid w:val="00BC4045"/>
    <w:rsid w:val="00BC4161"/>
    <w:rsid w:val="00BC4954"/>
    <w:rsid w:val="00BC508E"/>
    <w:rsid w:val="00BC511D"/>
    <w:rsid w:val="00BC526C"/>
    <w:rsid w:val="00BC5618"/>
    <w:rsid w:val="00BC56F9"/>
    <w:rsid w:val="00BC572B"/>
    <w:rsid w:val="00BC585B"/>
    <w:rsid w:val="00BC5889"/>
    <w:rsid w:val="00BC58E3"/>
    <w:rsid w:val="00BC592E"/>
    <w:rsid w:val="00BC5C87"/>
    <w:rsid w:val="00BC5DE1"/>
    <w:rsid w:val="00BC5E5B"/>
    <w:rsid w:val="00BC63F8"/>
    <w:rsid w:val="00BC6457"/>
    <w:rsid w:val="00BC6553"/>
    <w:rsid w:val="00BC69D3"/>
    <w:rsid w:val="00BC6B79"/>
    <w:rsid w:val="00BC6F17"/>
    <w:rsid w:val="00BC7049"/>
    <w:rsid w:val="00BC70AE"/>
    <w:rsid w:val="00BC72D6"/>
    <w:rsid w:val="00BC73FC"/>
    <w:rsid w:val="00BC7438"/>
    <w:rsid w:val="00BC787F"/>
    <w:rsid w:val="00BC79CE"/>
    <w:rsid w:val="00BD019F"/>
    <w:rsid w:val="00BD084C"/>
    <w:rsid w:val="00BD0AB7"/>
    <w:rsid w:val="00BD0B73"/>
    <w:rsid w:val="00BD0C5B"/>
    <w:rsid w:val="00BD0C90"/>
    <w:rsid w:val="00BD0E3C"/>
    <w:rsid w:val="00BD13F7"/>
    <w:rsid w:val="00BD1487"/>
    <w:rsid w:val="00BD190D"/>
    <w:rsid w:val="00BD1C13"/>
    <w:rsid w:val="00BD1C34"/>
    <w:rsid w:val="00BD1CD3"/>
    <w:rsid w:val="00BD1DA1"/>
    <w:rsid w:val="00BD1E8F"/>
    <w:rsid w:val="00BD2112"/>
    <w:rsid w:val="00BD234E"/>
    <w:rsid w:val="00BD28D6"/>
    <w:rsid w:val="00BD2D71"/>
    <w:rsid w:val="00BD2E40"/>
    <w:rsid w:val="00BD309C"/>
    <w:rsid w:val="00BD315E"/>
    <w:rsid w:val="00BD3377"/>
    <w:rsid w:val="00BD3762"/>
    <w:rsid w:val="00BD37AD"/>
    <w:rsid w:val="00BD3AC5"/>
    <w:rsid w:val="00BD3D80"/>
    <w:rsid w:val="00BD3ECE"/>
    <w:rsid w:val="00BD4062"/>
    <w:rsid w:val="00BD42CD"/>
    <w:rsid w:val="00BD433C"/>
    <w:rsid w:val="00BD4AC8"/>
    <w:rsid w:val="00BD4FE1"/>
    <w:rsid w:val="00BD520C"/>
    <w:rsid w:val="00BD5314"/>
    <w:rsid w:val="00BD6138"/>
    <w:rsid w:val="00BD646D"/>
    <w:rsid w:val="00BD659C"/>
    <w:rsid w:val="00BD660F"/>
    <w:rsid w:val="00BD6813"/>
    <w:rsid w:val="00BD685A"/>
    <w:rsid w:val="00BD6AB9"/>
    <w:rsid w:val="00BD6AFD"/>
    <w:rsid w:val="00BD6E0B"/>
    <w:rsid w:val="00BD6F33"/>
    <w:rsid w:val="00BD7327"/>
    <w:rsid w:val="00BD7520"/>
    <w:rsid w:val="00BD77A8"/>
    <w:rsid w:val="00BD77CA"/>
    <w:rsid w:val="00BD78DB"/>
    <w:rsid w:val="00BD7AA7"/>
    <w:rsid w:val="00BD7B63"/>
    <w:rsid w:val="00BD7C1C"/>
    <w:rsid w:val="00BD7EC5"/>
    <w:rsid w:val="00BE0218"/>
    <w:rsid w:val="00BE0255"/>
    <w:rsid w:val="00BE0625"/>
    <w:rsid w:val="00BE0CD4"/>
    <w:rsid w:val="00BE11B3"/>
    <w:rsid w:val="00BE13F0"/>
    <w:rsid w:val="00BE1782"/>
    <w:rsid w:val="00BE18EE"/>
    <w:rsid w:val="00BE196C"/>
    <w:rsid w:val="00BE1B5D"/>
    <w:rsid w:val="00BE1DCF"/>
    <w:rsid w:val="00BE1E0B"/>
    <w:rsid w:val="00BE2239"/>
    <w:rsid w:val="00BE2275"/>
    <w:rsid w:val="00BE2498"/>
    <w:rsid w:val="00BE2CA6"/>
    <w:rsid w:val="00BE2F7B"/>
    <w:rsid w:val="00BE306F"/>
    <w:rsid w:val="00BE331F"/>
    <w:rsid w:val="00BE33A7"/>
    <w:rsid w:val="00BE351D"/>
    <w:rsid w:val="00BE35B4"/>
    <w:rsid w:val="00BE3800"/>
    <w:rsid w:val="00BE38BD"/>
    <w:rsid w:val="00BE3A7A"/>
    <w:rsid w:val="00BE3C71"/>
    <w:rsid w:val="00BE3CD2"/>
    <w:rsid w:val="00BE3DF6"/>
    <w:rsid w:val="00BE3FA3"/>
    <w:rsid w:val="00BE425A"/>
    <w:rsid w:val="00BE49AE"/>
    <w:rsid w:val="00BE4A3D"/>
    <w:rsid w:val="00BE4C1E"/>
    <w:rsid w:val="00BE5279"/>
    <w:rsid w:val="00BE53DE"/>
    <w:rsid w:val="00BE540F"/>
    <w:rsid w:val="00BE5493"/>
    <w:rsid w:val="00BE5533"/>
    <w:rsid w:val="00BE5539"/>
    <w:rsid w:val="00BE561D"/>
    <w:rsid w:val="00BE594C"/>
    <w:rsid w:val="00BE675D"/>
    <w:rsid w:val="00BE696C"/>
    <w:rsid w:val="00BE6ACD"/>
    <w:rsid w:val="00BE6E8F"/>
    <w:rsid w:val="00BE6FB8"/>
    <w:rsid w:val="00BE6FFA"/>
    <w:rsid w:val="00BE721A"/>
    <w:rsid w:val="00BE7323"/>
    <w:rsid w:val="00BE7532"/>
    <w:rsid w:val="00BE7602"/>
    <w:rsid w:val="00BE76AF"/>
    <w:rsid w:val="00BE773D"/>
    <w:rsid w:val="00BE777B"/>
    <w:rsid w:val="00BE7A4E"/>
    <w:rsid w:val="00BE7CED"/>
    <w:rsid w:val="00BE7CF3"/>
    <w:rsid w:val="00BF02AF"/>
    <w:rsid w:val="00BF11BA"/>
    <w:rsid w:val="00BF12B5"/>
    <w:rsid w:val="00BF153E"/>
    <w:rsid w:val="00BF216F"/>
    <w:rsid w:val="00BF22A3"/>
    <w:rsid w:val="00BF22F2"/>
    <w:rsid w:val="00BF232C"/>
    <w:rsid w:val="00BF2987"/>
    <w:rsid w:val="00BF29AB"/>
    <w:rsid w:val="00BF2A28"/>
    <w:rsid w:val="00BF2ACB"/>
    <w:rsid w:val="00BF3334"/>
    <w:rsid w:val="00BF3525"/>
    <w:rsid w:val="00BF36F7"/>
    <w:rsid w:val="00BF3839"/>
    <w:rsid w:val="00BF3899"/>
    <w:rsid w:val="00BF3AD9"/>
    <w:rsid w:val="00BF3D49"/>
    <w:rsid w:val="00BF407C"/>
    <w:rsid w:val="00BF41E2"/>
    <w:rsid w:val="00BF439B"/>
    <w:rsid w:val="00BF442E"/>
    <w:rsid w:val="00BF4AD0"/>
    <w:rsid w:val="00BF4B8F"/>
    <w:rsid w:val="00BF4BF0"/>
    <w:rsid w:val="00BF5101"/>
    <w:rsid w:val="00BF51F9"/>
    <w:rsid w:val="00BF5493"/>
    <w:rsid w:val="00BF58C5"/>
    <w:rsid w:val="00BF5D92"/>
    <w:rsid w:val="00BF5E18"/>
    <w:rsid w:val="00BF5E5B"/>
    <w:rsid w:val="00BF6153"/>
    <w:rsid w:val="00BF637F"/>
    <w:rsid w:val="00BF6460"/>
    <w:rsid w:val="00BF6688"/>
    <w:rsid w:val="00BF6AFA"/>
    <w:rsid w:val="00BF6E80"/>
    <w:rsid w:val="00BF6EBE"/>
    <w:rsid w:val="00BF6FA0"/>
    <w:rsid w:val="00BF70AC"/>
    <w:rsid w:val="00BF753E"/>
    <w:rsid w:val="00BF76C6"/>
    <w:rsid w:val="00BF7900"/>
    <w:rsid w:val="00BF7B76"/>
    <w:rsid w:val="00C004F7"/>
    <w:rsid w:val="00C008C1"/>
    <w:rsid w:val="00C00A06"/>
    <w:rsid w:val="00C00E17"/>
    <w:rsid w:val="00C00E90"/>
    <w:rsid w:val="00C010E0"/>
    <w:rsid w:val="00C01547"/>
    <w:rsid w:val="00C015CA"/>
    <w:rsid w:val="00C017BA"/>
    <w:rsid w:val="00C01A0E"/>
    <w:rsid w:val="00C01B79"/>
    <w:rsid w:val="00C01E37"/>
    <w:rsid w:val="00C01F32"/>
    <w:rsid w:val="00C02454"/>
    <w:rsid w:val="00C02594"/>
    <w:rsid w:val="00C02AA8"/>
    <w:rsid w:val="00C02B2E"/>
    <w:rsid w:val="00C02BB0"/>
    <w:rsid w:val="00C02CF3"/>
    <w:rsid w:val="00C02E57"/>
    <w:rsid w:val="00C0310C"/>
    <w:rsid w:val="00C0316B"/>
    <w:rsid w:val="00C03877"/>
    <w:rsid w:val="00C03D9D"/>
    <w:rsid w:val="00C04004"/>
    <w:rsid w:val="00C0420D"/>
    <w:rsid w:val="00C04407"/>
    <w:rsid w:val="00C04B53"/>
    <w:rsid w:val="00C04B6F"/>
    <w:rsid w:val="00C04BA9"/>
    <w:rsid w:val="00C04C15"/>
    <w:rsid w:val="00C04E21"/>
    <w:rsid w:val="00C0570A"/>
    <w:rsid w:val="00C05A56"/>
    <w:rsid w:val="00C06038"/>
    <w:rsid w:val="00C06168"/>
    <w:rsid w:val="00C0617F"/>
    <w:rsid w:val="00C063DC"/>
    <w:rsid w:val="00C06415"/>
    <w:rsid w:val="00C06523"/>
    <w:rsid w:val="00C0669A"/>
    <w:rsid w:val="00C06A14"/>
    <w:rsid w:val="00C06A2A"/>
    <w:rsid w:val="00C06ADA"/>
    <w:rsid w:val="00C0714C"/>
    <w:rsid w:val="00C07166"/>
    <w:rsid w:val="00C07182"/>
    <w:rsid w:val="00C07271"/>
    <w:rsid w:val="00C07332"/>
    <w:rsid w:val="00C07756"/>
    <w:rsid w:val="00C0778A"/>
    <w:rsid w:val="00C077E2"/>
    <w:rsid w:val="00C07981"/>
    <w:rsid w:val="00C07E28"/>
    <w:rsid w:val="00C07E50"/>
    <w:rsid w:val="00C10087"/>
    <w:rsid w:val="00C100B2"/>
    <w:rsid w:val="00C1048F"/>
    <w:rsid w:val="00C10664"/>
    <w:rsid w:val="00C1068A"/>
    <w:rsid w:val="00C106BD"/>
    <w:rsid w:val="00C106D8"/>
    <w:rsid w:val="00C10D2A"/>
    <w:rsid w:val="00C10D7B"/>
    <w:rsid w:val="00C11056"/>
    <w:rsid w:val="00C112E5"/>
    <w:rsid w:val="00C113FD"/>
    <w:rsid w:val="00C11D2A"/>
    <w:rsid w:val="00C11E3B"/>
    <w:rsid w:val="00C11E7D"/>
    <w:rsid w:val="00C11F3D"/>
    <w:rsid w:val="00C11FFA"/>
    <w:rsid w:val="00C125DC"/>
    <w:rsid w:val="00C1263C"/>
    <w:rsid w:val="00C129A8"/>
    <w:rsid w:val="00C12B0D"/>
    <w:rsid w:val="00C12CA3"/>
    <w:rsid w:val="00C12DEE"/>
    <w:rsid w:val="00C12EAB"/>
    <w:rsid w:val="00C1357A"/>
    <w:rsid w:val="00C137E6"/>
    <w:rsid w:val="00C1383A"/>
    <w:rsid w:val="00C13B39"/>
    <w:rsid w:val="00C13BF3"/>
    <w:rsid w:val="00C13D65"/>
    <w:rsid w:val="00C13D98"/>
    <w:rsid w:val="00C141FC"/>
    <w:rsid w:val="00C14695"/>
    <w:rsid w:val="00C14B84"/>
    <w:rsid w:val="00C14CFA"/>
    <w:rsid w:val="00C14D8A"/>
    <w:rsid w:val="00C14EAE"/>
    <w:rsid w:val="00C14F6A"/>
    <w:rsid w:val="00C15281"/>
    <w:rsid w:val="00C15403"/>
    <w:rsid w:val="00C154EB"/>
    <w:rsid w:val="00C1551F"/>
    <w:rsid w:val="00C15AF0"/>
    <w:rsid w:val="00C15B28"/>
    <w:rsid w:val="00C164EF"/>
    <w:rsid w:val="00C164F5"/>
    <w:rsid w:val="00C16700"/>
    <w:rsid w:val="00C16844"/>
    <w:rsid w:val="00C1693B"/>
    <w:rsid w:val="00C16AFA"/>
    <w:rsid w:val="00C16B4E"/>
    <w:rsid w:val="00C171CF"/>
    <w:rsid w:val="00C1742F"/>
    <w:rsid w:val="00C1744A"/>
    <w:rsid w:val="00C1748B"/>
    <w:rsid w:val="00C177F3"/>
    <w:rsid w:val="00C17879"/>
    <w:rsid w:val="00C17955"/>
    <w:rsid w:val="00C17ECC"/>
    <w:rsid w:val="00C201CE"/>
    <w:rsid w:val="00C204C5"/>
    <w:rsid w:val="00C20A50"/>
    <w:rsid w:val="00C20B84"/>
    <w:rsid w:val="00C211E7"/>
    <w:rsid w:val="00C21457"/>
    <w:rsid w:val="00C215C3"/>
    <w:rsid w:val="00C218C3"/>
    <w:rsid w:val="00C21B49"/>
    <w:rsid w:val="00C21DDA"/>
    <w:rsid w:val="00C21E44"/>
    <w:rsid w:val="00C21FBC"/>
    <w:rsid w:val="00C22066"/>
    <w:rsid w:val="00C220C7"/>
    <w:rsid w:val="00C221EF"/>
    <w:rsid w:val="00C22359"/>
    <w:rsid w:val="00C2237B"/>
    <w:rsid w:val="00C22593"/>
    <w:rsid w:val="00C226FE"/>
    <w:rsid w:val="00C228B8"/>
    <w:rsid w:val="00C22BB7"/>
    <w:rsid w:val="00C22F69"/>
    <w:rsid w:val="00C22FCE"/>
    <w:rsid w:val="00C23108"/>
    <w:rsid w:val="00C23769"/>
    <w:rsid w:val="00C2384E"/>
    <w:rsid w:val="00C239CD"/>
    <w:rsid w:val="00C23B2C"/>
    <w:rsid w:val="00C23D63"/>
    <w:rsid w:val="00C23DB2"/>
    <w:rsid w:val="00C23DC7"/>
    <w:rsid w:val="00C24400"/>
    <w:rsid w:val="00C2441D"/>
    <w:rsid w:val="00C2460E"/>
    <w:rsid w:val="00C24641"/>
    <w:rsid w:val="00C247E3"/>
    <w:rsid w:val="00C24A1A"/>
    <w:rsid w:val="00C24C8F"/>
    <w:rsid w:val="00C24D44"/>
    <w:rsid w:val="00C2501E"/>
    <w:rsid w:val="00C252C6"/>
    <w:rsid w:val="00C254C9"/>
    <w:rsid w:val="00C255D6"/>
    <w:rsid w:val="00C2566D"/>
    <w:rsid w:val="00C25706"/>
    <w:rsid w:val="00C257D8"/>
    <w:rsid w:val="00C25835"/>
    <w:rsid w:val="00C25946"/>
    <w:rsid w:val="00C259F8"/>
    <w:rsid w:val="00C25D35"/>
    <w:rsid w:val="00C25E82"/>
    <w:rsid w:val="00C2615F"/>
    <w:rsid w:val="00C262AF"/>
    <w:rsid w:val="00C264A2"/>
    <w:rsid w:val="00C26BA9"/>
    <w:rsid w:val="00C26BD8"/>
    <w:rsid w:val="00C270CF"/>
    <w:rsid w:val="00C270E9"/>
    <w:rsid w:val="00C2714D"/>
    <w:rsid w:val="00C2722B"/>
    <w:rsid w:val="00C27230"/>
    <w:rsid w:val="00C2725D"/>
    <w:rsid w:val="00C27408"/>
    <w:rsid w:val="00C27409"/>
    <w:rsid w:val="00C27726"/>
    <w:rsid w:val="00C27B52"/>
    <w:rsid w:val="00C27B7A"/>
    <w:rsid w:val="00C27CFC"/>
    <w:rsid w:val="00C27DA0"/>
    <w:rsid w:val="00C3006F"/>
    <w:rsid w:val="00C3025C"/>
    <w:rsid w:val="00C3026B"/>
    <w:rsid w:val="00C30412"/>
    <w:rsid w:val="00C305E1"/>
    <w:rsid w:val="00C30647"/>
    <w:rsid w:val="00C3069A"/>
    <w:rsid w:val="00C30D5D"/>
    <w:rsid w:val="00C31310"/>
    <w:rsid w:val="00C3134A"/>
    <w:rsid w:val="00C3136D"/>
    <w:rsid w:val="00C3139D"/>
    <w:rsid w:val="00C31442"/>
    <w:rsid w:val="00C31D0F"/>
    <w:rsid w:val="00C31ED9"/>
    <w:rsid w:val="00C31F61"/>
    <w:rsid w:val="00C3218A"/>
    <w:rsid w:val="00C3225C"/>
    <w:rsid w:val="00C323B1"/>
    <w:rsid w:val="00C32430"/>
    <w:rsid w:val="00C32849"/>
    <w:rsid w:val="00C328F8"/>
    <w:rsid w:val="00C32937"/>
    <w:rsid w:val="00C32AED"/>
    <w:rsid w:val="00C32C1A"/>
    <w:rsid w:val="00C32EC0"/>
    <w:rsid w:val="00C33040"/>
    <w:rsid w:val="00C33990"/>
    <w:rsid w:val="00C33BB0"/>
    <w:rsid w:val="00C33BD1"/>
    <w:rsid w:val="00C33C8C"/>
    <w:rsid w:val="00C33EFC"/>
    <w:rsid w:val="00C33F4C"/>
    <w:rsid w:val="00C34386"/>
    <w:rsid w:val="00C34617"/>
    <w:rsid w:val="00C349E5"/>
    <w:rsid w:val="00C34DA9"/>
    <w:rsid w:val="00C3522B"/>
    <w:rsid w:val="00C35281"/>
    <w:rsid w:val="00C352CA"/>
    <w:rsid w:val="00C35408"/>
    <w:rsid w:val="00C35867"/>
    <w:rsid w:val="00C35883"/>
    <w:rsid w:val="00C35A01"/>
    <w:rsid w:val="00C35F04"/>
    <w:rsid w:val="00C3630F"/>
    <w:rsid w:val="00C3650E"/>
    <w:rsid w:val="00C36B46"/>
    <w:rsid w:val="00C36DB2"/>
    <w:rsid w:val="00C36DB4"/>
    <w:rsid w:val="00C371D6"/>
    <w:rsid w:val="00C3726A"/>
    <w:rsid w:val="00C3747E"/>
    <w:rsid w:val="00C374B6"/>
    <w:rsid w:val="00C3754E"/>
    <w:rsid w:val="00C377A4"/>
    <w:rsid w:val="00C37C52"/>
    <w:rsid w:val="00C40376"/>
    <w:rsid w:val="00C4046C"/>
    <w:rsid w:val="00C409DA"/>
    <w:rsid w:val="00C40A30"/>
    <w:rsid w:val="00C40A81"/>
    <w:rsid w:val="00C40BB6"/>
    <w:rsid w:val="00C40CB4"/>
    <w:rsid w:val="00C40E29"/>
    <w:rsid w:val="00C40E78"/>
    <w:rsid w:val="00C41130"/>
    <w:rsid w:val="00C41164"/>
    <w:rsid w:val="00C41194"/>
    <w:rsid w:val="00C414A2"/>
    <w:rsid w:val="00C41BC1"/>
    <w:rsid w:val="00C422FA"/>
    <w:rsid w:val="00C42821"/>
    <w:rsid w:val="00C42D53"/>
    <w:rsid w:val="00C42D5D"/>
    <w:rsid w:val="00C42F86"/>
    <w:rsid w:val="00C43234"/>
    <w:rsid w:val="00C432B8"/>
    <w:rsid w:val="00C432CE"/>
    <w:rsid w:val="00C43843"/>
    <w:rsid w:val="00C43913"/>
    <w:rsid w:val="00C43945"/>
    <w:rsid w:val="00C439A1"/>
    <w:rsid w:val="00C43D42"/>
    <w:rsid w:val="00C43F4E"/>
    <w:rsid w:val="00C44387"/>
    <w:rsid w:val="00C4461C"/>
    <w:rsid w:val="00C44BCA"/>
    <w:rsid w:val="00C44CF3"/>
    <w:rsid w:val="00C44DDD"/>
    <w:rsid w:val="00C44DE5"/>
    <w:rsid w:val="00C45189"/>
    <w:rsid w:val="00C45444"/>
    <w:rsid w:val="00C45606"/>
    <w:rsid w:val="00C456BF"/>
    <w:rsid w:val="00C45708"/>
    <w:rsid w:val="00C45786"/>
    <w:rsid w:val="00C45B48"/>
    <w:rsid w:val="00C45DDB"/>
    <w:rsid w:val="00C4634B"/>
    <w:rsid w:val="00C46AC2"/>
    <w:rsid w:val="00C4703A"/>
    <w:rsid w:val="00C47101"/>
    <w:rsid w:val="00C47143"/>
    <w:rsid w:val="00C47A97"/>
    <w:rsid w:val="00C47BE0"/>
    <w:rsid w:val="00C47BF5"/>
    <w:rsid w:val="00C50167"/>
    <w:rsid w:val="00C501A0"/>
    <w:rsid w:val="00C5021B"/>
    <w:rsid w:val="00C50270"/>
    <w:rsid w:val="00C50985"/>
    <w:rsid w:val="00C50B2C"/>
    <w:rsid w:val="00C50CF3"/>
    <w:rsid w:val="00C50D16"/>
    <w:rsid w:val="00C51335"/>
    <w:rsid w:val="00C5145C"/>
    <w:rsid w:val="00C518F8"/>
    <w:rsid w:val="00C519BC"/>
    <w:rsid w:val="00C51A3C"/>
    <w:rsid w:val="00C51C65"/>
    <w:rsid w:val="00C51CED"/>
    <w:rsid w:val="00C51EAB"/>
    <w:rsid w:val="00C51F46"/>
    <w:rsid w:val="00C520B9"/>
    <w:rsid w:val="00C5226C"/>
    <w:rsid w:val="00C5242E"/>
    <w:rsid w:val="00C52494"/>
    <w:rsid w:val="00C52660"/>
    <w:rsid w:val="00C527D2"/>
    <w:rsid w:val="00C53269"/>
    <w:rsid w:val="00C53525"/>
    <w:rsid w:val="00C536F7"/>
    <w:rsid w:val="00C537C5"/>
    <w:rsid w:val="00C53A04"/>
    <w:rsid w:val="00C53CC4"/>
    <w:rsid w:val="00C545C1"/>
    <w:rsid w:val="00C549C8"/>
    <w:rsid w:val="00C54CE9"/>
    <w:rsid w:val="00C54D08"/>
    <w:rsid w:val="00C54F2C"/>
    <w:rsid w:val="00C55183"/>
    <w:rsid w:val="00C5571E"/>
    <w:rsid w:val="00C55817"/>
    <w:rsid w:val="00C55B5D"/>
    <w:rsid w:val="00C55C18"/>
    <w:rsid w:val="00C55C72"/>
    <w:rsid w:val="00C56214"/>
    <w:rsid w:val="00C56366"/>
    <w:rsid w:val="00C56945"/>
    <w:rsid w:val="00C56A0B"/>
    <w:rsid w:val="00C56BD3"/>
    <w:rsid w:val="00C56C33"/>
    <w:rsid w:val="00C56D08"/>
    <w:rsid w:val="00C56DF1"/>
    <w:rsid w:val="00C56E74"/>
    <w:rsid w:val="00C56F6A"/>
    <w:rsid w:val="00C5722C"/>
    <w:rsid w:val="00C5737C"/>
    <w:rsid w:val="00C573FC"/>
    <w:rsid w:val="00C577A5"/>
    <w:rsid w:val="00C57A29"/>
    <w:rsid w:val="00C600BC"/>
    <w:rsid w:val="00C6015D"/>
    <w:rsid w:val="00C60549"/>
    <w:rsid w:val="00C60B3D"/>
    <w:rsid w:val="00C60D36"/>
    <w:rsid w:val="00C61176"/>
    <w:rsid w:val="00C61610"/>
    <w:rsid w:val="00C61A89"/>
    <w:rsid w:val="00C61AA2"/>
    <w:rsid w:val="00C61AC5"/>
    <w:rsid w:val="00C61CAA"/>
    <w:rsid w:val="00C61E15"/>
    <w:rsid w:val="00C61E39"/>
    <w:rsid w:val="00C61F35"/>
    <w:rsid w:val="00C624FD"/>
    <w:rsid w:val="00C62B8E"/>
    <w:rsid w:val="00C62C3C"/>
    <w:rsid w:val="00C6312F"/>
    <w:rsid w:val="00C63481"/>
    <w:rsid w:val="00C63806"/>
    <w:rsid w:val="00C639BB"/>
    <w:rsid w:val="00C6419C"/>
    <w:rsid w:val="00C64352"/>
    <w:rsid w:val="00C64379"/>
    <w:rsid w:val="00C64978"/>
    <w:rsid w:val="00C64993"/>
    <w:rsid w:val="00C64E62"/>
    <w:rsid w:val="00C64E66"/>
    <w:rsid w:val="00C650B2"/>
    <w:rsid w:val="00C6573C"/>
    <w:rsid w:val="00C6573D"/>
    <w:rsid w:val="00C657E9"/>
    <w:rsid w:val="00C65979"/>
    <w:rsid w:val="00C66806"/>
    <w:rsid w:val="00C66B9C"/>
    <w:rsid w:val="00C66B9F"/>
    <w:rsid w:val="00C671B8"/>
    <w:rsid w:val="00C672FF"/>
    <w:rsid w:val="00C674C0"/>
    <w:rsid w:val="00C676F6"/>
    <w:rsid w:val="00C67C44"/>
    <w:rsid w:val="00C7012A"/>
    <w:rsid w:val="00C70630"/>
    <w:rsid w:val="00C7093C"/>
    <w:rsid w:val="00C70CC6"/>
    <w:rsid w:val="00C70E3E"/>
    <w:rsid w:val="00C70FBA"/>
    <w:rsid w:val="00C718B6"/>
    <w:rsid w:val="00C71D58"/>
    <w:rsid w:val="00C72025"/>
    <w:rsid w:val="00C7219E"/>
    <w:rsid w:val="00C721BD"/>
    <w:rsid w:val="00C721C9"/>
    <w:rsid w:val="00C72474"/>
    <w:rsid w:val="00C724F5"/>
    <w:rsid w:val="00C72560"/>
    <w:rsid w:val="00C7264F"/>
    <w:rsid w:val="00C729E6"/>
    <w:rsid w:val="00C72B7B"/>
    <w:rsid w:val="00C73091"/>
    <w:rsid w:val="00C734A5"/>
    <w:rsid w:val="00C73733"/>
    <w:rsid w:val="00C73976"/>
    <w:rsid w:val="00C73C7B"/>
    <w:rsid w:val="00C73D54"/>
    <w:rsid w:val="00C73E0D"/>
    <w:rsid w:val="00C741BA"/>
    <w:rsid w:val="00C741BD"/>
    <w:rsid w:val="00C74257"/>
    <w:rsid w:val="00C74332"/>
    <w:rsid w:val="00C744FF"/>
    <w:rsid w:val="00C74750"/>
    <w:rsid w:val="00C7494A"/>
    <w:rsid w:val="00C749AA"/>
    <w:rsid w:val="00C749D3"/>
    <w:rsid w:val="00C749E3"/>
    <w:rsid w:val="00C74CD2"/>
    <w:rsid w:val="00C74EBA"/>
    <w:rsid w:val="00C74F31"/>
    <w:rsid w:val="00C75037"/>
    <w:rsid w:val="00C750BA"/>
    <w:rsid w:val="00C75138"/>
    <w:rsid w:val="00C752C6"/>
    <w:rsid w:val="00C75445"/>
    <w:rsid w:val="00C754B0"/>
    <w:rsid w:val="00C75935"/>
    <w:rsid w:val="00C75A5D"/>
    <w:rsid w:val="00C75AA9"/>
    <w:rsid w:val="00C75E90"/>
    <w:rsid w:val="00C76412"/>
    <w:rsid w:val="00C76673"/>
    <w:rsid w:val="00C76736"/>
    <w:rsid w:val="00C76AAF"/>
    <w:rsid w:val="00C77330"/>
    <w:rsid w:val="00C7740C"/>
    <w:rsid w:val="00C7755B"/>
    <w:rsid w:val="00C77641"/>
    <w:rsid w:val="00C7787D"/>
    <w:rsid w:val="00C77A51"/>
    <w:rsid w:val="00C77C79"/>
    <w:rsid w:val="00C77F58"/>
    <w:rsid w:val="00C80164"/>
    <w:rsid w:val="00C802F9"/>
    <w:rsid w:val="00C80357"/>
    <w:rsid w:val="00C80409"/>
    <w:rsid w:val="00C809C9"/>
    <w:rsid w:val="00C80E11"/>
    <w:rsid w:val="00C80F08"/>
    <w:rsid w:val="00C80FFE"/>
    <w:rsid w:val="00C81385"/>
    <w:rsid w:val="00C8148F"/>
    <w:rsid w:val="00C816BC"/>
    <w:rsid w:val="00C8171A"/>
    <w:rsid w:val="00C81AE1"/>
    <w:rsid w:val="00C81DF8"/>
    <w:rsid w:val="00C81FF7"/>
    <w:rsid w:val="00C82284"/>
    <w:rsid w:val="00C82429"/>
    <w:rsid w:val="00C82804"/>
    <w:rsid w:val="00C828C3"/>
    <w:rsid w:val="00C82954"/>
    <w:rsid w:val="00C82A83"/>
    <w:rsid w:val="00C82D5D"/>
    <w:rsid w:val="00C82DB6"/>
    <w:rsid w:val="00C82DE5"/>
    <w:rsid w:val="00C82EE6"/>
    <w:rsid w:val="00C82F45"/>
    <w:rsid w:val="00C8308A"/>
    <w:rsid w:val="00C830EA"/>
    <w:rsid w:val="00C83162"/>
    <w:rsid w:val="00C831D4"/>
    <w:rsid w:val="00C83495"/>
    <w:rsid w:val="00C83C52"/>
    <w:rsid w:val="00C83DC5"/>
    <w:rsid w:val="00C83E8C"/>
    <w:rsid w:val="00C840D2"/>
    <w:rsid w:val="00C84152"/>
    <w:rsid w:val="00C8498F"/>
    <w:rsid w:val="00C849AD"/>
    <w:rsid w:val="00C84A9D"/>
    <w:rsid w:val="00C84C25"/>
    <w:rsid w:val="00C84C28"/>
    <w:rsid w:val="00C84D0B"/>
    <w:rsid w:val="00C84E90"/>
    <w:rsid w:val="00C84F5B"/>
    <w:rsid w:val="00C85158"/>
    <w:rsid w:val="00C852A9"/>
    <w:rsid w:val="00C85874"/>
    <w:rsid w:val="00C85B8B"/>
    <w:rsid w:val="00C85D5A"/>
    <w:rsid w:val="00C85DF7"/>
    <w:rsid w:val="00C866AC"/>
    <w:rsid w:val="00C869E0"/>
    <w:rsid w:val="00C8721C"/>
    <w:rsid w:val="00C87392"/>
    <w:rsid w:val="00C877C4"/>
    <w:rsid w:val="00C87A0B"/>
    <w:rsid w:val="00C87A5F"/>
    <w:rsid w:val="00C87EC4"/>
    <w:rsid w:val="00C90105"/>
    <w:rsid w:val="00C90782"/>
    <w:rsid w:val="00C9083E"/>
    <w:rsid w:val="00C90907"/>
    <w:rsid w:val="00C9104C"/>
    <w:rsid w:val="00C91131"/>
    <w:rsid w:val="00C912AF"/>
    <w:rsid w:val="00C9135F"/>
    <w:rsid w:val="00C91462"/>
    <w:rsid w:val="00C91673"/>
    <w:rsid w:val="00C91679"/>
    <w:rsid w:val="00C917D5"/>
    <w:rsid w:val="00C9195F"/>
    <w:rsid w:val="00C91B95"/>
    <w:rsid w:val="00C91C49"/>
    <w:rsid w:val="00C92193"/>
    <w:rsid w:val="00C929F4"/>
    <w:rsid w:val="00C92A72"/>
    <w:rsid w:val="00C92FDB"/>
    <w:rsid w:val="00C93541"/>
    <w:rsid w:val="00C937F2"/>
    <w:rsid w:val="00C93ADB"/>
    <w:rsid w:val="00C93E31"/>
    <w:rsid w:val="00C940CB"/>
    <w:rsid w:val="00C943DF"/>
    <w:rsid w:val="00C94468"/>
    <w:rsid w:val="00C9480A"/>
    <w:rsid w:val="00C94869"/>
    <w:rsid w:val="00C9487B"/>
    <w:rsid w:val="00C94BF2"/>
    <w:rsid w:val="00C95520"/>
    <w:rsid w:val="00C959FD"/>
    <w:rsid w:val="00C95CC6"/>
    <w:rsid w:val="00C95D7D"/>
    <w:rsid w:val="00C96090"/>
    <w:rsid w:val="00C96467"/>
    <w:rsid w:val="00C967FC"/>
    <w:rsid w:val="00C96A83"/>
    <w:rsid w:val="00C96D1B"/>
    <w:rsid w:val="00C96D88"/>
    <w:rsid w:val="00C96FB7"/>
    <w:rsid w:val="00C970C9"/>
    <w:rsid w:val="00C97122"/>
    <w:rsid w:val="00C97218"/>
    <w:rsid w:val="00C9721D"/>
    <w:rsid w:val="00C9726B"/>
    <w:rsid w:val="00C97595"/>
    <w:rsid w:val="00C97DD6"/>
    <w:rsid w:val="00C97E71"/>
    <w:rsid w:val="00C97EA2"/>
    <w:rsid w:val="00C97F74"/>
    <w:rsid w:val="00CA0259"/>
    <w:rsid w:val="00CA0328"/>
    <w:rsid w:val="00CA09E6"/>
    <w:rsid w:val="00CA0BF8"/>
    <w:rsid w:val="00CA0CEA"/>
    <w:rsid w:val="00CA0D03"/>
    <w:rsid w:val="00CA0D83"/>
    <w:rsid w:val="00CA0F41"/>
    <w:rsid w:val="00CA1294"/>
    <w:rsid w:val="00CA135E"/>
    <w:rsid w:val="00CA143B"/>
    <w:rsid w:val="00CA1533"/>
    <w:rsid w:val="00CA19BB"/>
    <w:rsid w:val="00CA213B"/>
    <w:rsid w:val="00CA2344"/>
    <w:rsid w:val="00CA2365"/>
    <w:rsid w:val="00CA2380"/>
    <w:rsid w:val="00CA2664"/>
    <w:rsid w:val="00CA271D"/>
    <w:rsid w:val="00CA29CA"/>
    <w:rsid w:val="00CA2EF9"/>
    <w:rsid w:val="00CA2F6A"/>
    <w:rsid w:val="00CA2F73"/>
    <w:rsid w:val="00CA2FB3"/>
    <w:rsid w:val="00CA304D"/>
    <w:rsid w:val="00CA320D"/>
    <w:rsid w:val="00CA3521"/>
    <w:rsid w:val="00CA36D9"/>
    <w:rsid w:val="00CA3BBF"/>
    <w:rsid w:val="00CA3EE9"/>
    <w:rsid w:val="00CA3FBF"/>
    <w:rsid w:val="00CA3FD7"/>
    <w:rsid w:val="00CA40D6"/>
    <w:rsid w:val="00CA422A"/>
    <w:rsid w:val="00CA438C"/>
    <w:rsid w:val="00CA43DA"/>
    <w:rsid w:val="00CA43DB"/>
    <w:rsid w:val="00CA4639"/>
    <w:rsid w:val="00CA4969"/>
    <w:rsid w:val="00CA4A19"/>
    <w:rsid w:val="00CA4A85"/>
    <w:rsid w:val="00CA4C50"/>
    <w:rsid w:val="00CA5C6B"/>
    <w:rsid w:val="00CA5CE5"/>
    <w:rsid w:val="00CA5D2C"/>
    <w:rsid w:val="00CA5E1B"/>
    <w:rsid w:val="00CA5E1E"/>
    <w:rsid w:val="00CA5EC0"/>
    <w:rsid w:val="00CA5F6E"/>
    <w:rsid w:val="00CA62B0"/>
    <w:rsid w:val="00CA631E"/>
    <w:rsid w:val="00CA6366"/>
    <w:rsid w:val="00CA64B5"/>
    <w:rsid w:val="00CA656A"/>
    <w:rsid w:val="00CA65F9"/>
    <w:rsid w:val="00CA6690"/>
    <w:rsid w:val="00CA712D"/>
    <w:rsid w:val="00CA74DF"/>
    <w:rsid w:val="00CA7904"/>
    <w:rsid w:val="00CA7B4E"/>
    <w:rsid w:val="00CA7C1D"/>
    <w:rsid w:val="00CA7F28"/>
    <w:rsid w:val="00CB0050"/>
    <w:rsid w:val="00CB0457"/>
    <w:rsid w:val="00CB0612"/>
    <w:rsid w:val="00CB064E"/>
    <w:rsid w:val="00CB09D1"/>
    <w:rsid w:val="00CB0BB8"/>
    <w:rsid w:val="00CB0BCA"/>
    <w:rsid w:val="00CB0F6B"/>
    <w:rsid w:val="00CB15B0"/>
    <w:rsid w:val="00CB15CC"/>
    <w:rsid w:val="00CB18E9"/>
    <w:rsid w:val="00CB1C27"/>
    <w:rsid w:val="00CB1E8E"/>
    <w:rsid w:val="00CB1FAD"/>
    <w:rsid w:val="00CB234D"/>
    <w:rsid w:val="00CB2575"/>
    <w:rsid w:val="00CB2821"/>
    <w:rsid w:val="00CB2B57"/>
    <w:rsid w:val="00CB2BC1"/>
    <w:rsid w:val="00CB2C57"/>
    <w:rsid w:val="00CB2DBE"/>
    <w:rsid w:val="00CB2F24"/>
    <w:rsid w:val="00CB371A"/>
    <w:rsid w:val="00CB3831"/>
    <w:rsid w:val="00CB396A"/>
    <w:rsid w:val="00CB3E23"/>
    <w:rsid w:val="00CB3E95"/>
    <w:rsid w:val="00CB43B2"/>
    <w:rsid w:val="00CB43BE"/>
    <w:rsid w:val="00CB463F"/>
    <w:rsid w:val="00CB469B"/>
    <w:rsid w:val="00CB4BF1"/>
    <w:rsid w:val="00CB4DC7"/>
    <w:rsid w:val="00CB4DF7"/>
    <w:rsid w:val="00CB4FB8"/>
    <w:rsid w:val="00CB52B1"/>
    <w:rsid w:val="00CB53A1"/>
    <w:rsid w:val="00CB5665"/>
    <w:rsid w:val="00CB59D2"/>
    <w:rsid w:val="00CB5B25"/>
    <w:rsid w:val="00CB60F0"/>
    <w:rsid w:val="00CB61AF"/>
    <w:rsid w:val="00CB635B"/>
    <w:rsid w:val="00CB6D1A"/>
    <w:rsid w:val="00CB6D78"/>
    <w:rsid w:val="00CB6F4E"/>
    <w:rsid w:val="00CB744E"/>
    <w:rsid w:val="00CB78ED"/>
    <w:rsid w:val="00CB7AB0"/>
    <w:rsid w:val="00CB7D0D"/>
    <w:rsid w:val="00CB7DAB"/>
    <w:rsid w:val="00CB7EC1"/>
    <w:rsid w:val="00CC00CF"/>
    <w:rsid w:val="00CC00EE"/>
    <w:rsid w:val="00CC0285"/>
    <w:rsid w:val="00CC02BC"/>
    <w:rsid w:val="00CC0AAD"/>
    <w:rsid w:val="00CC0AC3"/>
    <w:rsid w:val="00CC0B5C"/>
    <w:rsid w:val="00CC0D99"/>
    <w:rsid w:val="00CC0E37"/>
    <w:rsid w:val="00CC11D6"/>
    <w:rsid w:val="00CC125E"/>
    <w:rsid w:val="00CC12A0"/>
    <w:rsid w:val="00CC1302"/>
    <w:rsid w:val="00CC140C"/>
    <w:rsid w:val="00CC19E0"/>
    <w:rsid w:val="00CC1ACB"/>
    <w:rsid w:val="00CC1CB5"/>
    <w:rsid w:val="00CC1F4A"/>
    <w:rsid w:val="00CC2153"/>
    <w:rsid w:val="00CC21C5"/>
    <w:rsid w:val="00CC28D9"/>
    <w:rsid w:val="00CC2961"/>
    <w:rsid w:val="00CC2A7D"/>
    <w:rsid w:val="00CC2D43"/>
    <w:rsid w:val="00CC345D"/>
    <w:rsid w:val="00CC3B0D"/>
    <w:rsid w:val="00CC3EF9"/>
    <w:rsid w:val="00CC3FCF"/>
    <w:rsid w:val="00CC418F"/>
    <w:rsid w:val="00CC41A0"/>
    <w:rsid w:val="00CC42B9"/>
    <w:rsid w:val="00CC446A"/>
    <w:rsid w:val="00CC4623"/>
    <w:rsid w:val="00CC4AB5"/>
    <w:rsid w:val="00CC4C8C"/>
    <w:rsid w:val="00CC4CAB"/>
    <w:rsid w:val="00CC5119"/>
    <w:rsid w:val="00CC5361"/>
    <w:rsid w:val="00CC5589"/>
    <w:rsid w:val="00CC57C1"/>
    <w:rsid w:val="00CC57D7"/>
    <w:rsid w:val="00CC5947"/>
    <w:rsid w:val="00CC5BDE"/>
    <w:rsid w:val="00CC5C0B"/>
    <w:rsid w:val="00CC5FB7"/>
    <w:rsid w:val="00CC60C9"/>
    <w:rsid w:val="00CC634B"/>
    <w:rsid w:val="00CC642B"/>
    <w:rsid w:val="00CC67EF"/>
    <w:rsid w:val="00CC6852"/>
    <w:rsid w:val="00CC6A5C"/>
    <w:rsid w:val="00CC75A9"/>
    <w:rsid w:val="00CC764A"/>
    <w:rsid w:val="00CC7EB5"/>
    <w:rsid w:val="00CC7F63"/>
    <w:rsid w:val="00CD0164"/>
    <w:rsid w:val="00CD038B"/>
    <w:rsid w:val="00CD039C"/>
    <w:rsid w:val="00CD0887"/>
    <w:rsid w:val="00CD109D"/>
    <w:rsid w:val="00CD11A5"/>
    <w:rsid w:val="00CD11E8"/>
    <w:rsid w:val="00CD1758"/>
    <w:rsid w:val="00CD1BCB"/>
    <w:rsid w:val="00CD1DBE"/>
    <w:rsid w:val="00CD23C4"/>
    <w:rsid w:val="00CD24B9"/>
    <w:rsid w:val="00CD25D6"/>
    <w:rsid w:val="00CD2A97"/>
    <w:rsid w:val="00CD2B05"/>
    <w:rsid w:val="00CD2DA3"/>
    <w:rsid w:val="00CD2E0C"/>
    <w:rsid w:val="00CD2E0D"/>
    <w:rsid w:val="00CD3061"/>
    <w:rsid w:val="00CD3123"/>
    <w:rsid w:val="00CD3124"/>
    <w:rsid w:val="00CD3457"/>
    <w:rsid w:val="00CD34BC"/>
    <w:rsid w:val="00CD3634"/>
    <w:rsid w:val="00CD3809"/>
    <w:rsid w:val="00CD390D"/>
    <w:rsid w:val="00CD3D2B"/>
    <w:rsid w:val="00CD3DA0"/>
    <w:rsid w:val="00CD3FD0"/>
    <w:rsid w:val="00CD4032"/>
    <w:rsid w:val="00CD4086"/>
    <w:rsid w:val="00CD42D1"/>
    <w:rsid w:val="00CD437F"/>
    <w:rsid w:val="00CD46F6"/>
    <w:rsid w:val="00CD4724"/>
    <w:rsid w:val="00CD47F2"/>
    <w:rsid w:val="00CD48FE"/>
    <w:rsid w:val="00CD4A9D"/>
    <w:rsid w:val="00CD4AC7"/>
    <w:rsid w:val="00CD4B7B"/>
    <w:rsid w:val="00CD4BE2"/>
    <w:rsid w:val="00CD4E89"/>
    <w:rsid w:val="00CD511A"/>
    <w:rsid w:val="00CD567F"/>
    <w:rsid w:val="00CD5766"/>
    <w:rsid w:val="00CD57AB"/>
    <w:rsid w:val="00CD58A7"/>
    <w:rsid w:val="00CD5968"/>
    <w:rsid w:val="00CD5B13"/>
    <w:rsid w:val="00CD60EE"/>
    <w:rsid w:val="00CD61DB"/>
    <w:rsid w:val="00CD6385"/>
    <w:rsid w:val="00CD6A4F"/>
    <w:rsid w:val="00CD6C75"/>
    <w:rsid w:val="00CD6CA5"/>
    <w:rsid w:val="00CD716F"/>
    <w:rsid w:val="00CD729E"/>
    <w:rsid w:val="00CD74A5"/>
    <w:rsid w:val="00CD75C5"/>
    <w:rsid w:val="00CD760C"/>
    <w:rsid w:val="00CD769E"/>
    <w:rsid w:val="00CD76CD"/>
    <w:rsid w:val="00CD79EA"/>
    <w:rsid w:val="00CD7AF0"/>
    <w:rsid w:val="00CD7CA9"/>
    <w:rsid w:val="00CD7E2B"/>
    <w:rsid w:val="00CD7EEB"/>
    <w:rsid w:val="00CE0696"/>
    <w:rsid w:val="00CE0939"/>
    <w:rsid w:val="00CE0AAF"/>
    <w:rsid w:val="00CE0B4F"/>
    <w:rsid w:val="00CE0C0B"/>
    <w:rsid w:val="00CE1017"/>
    <w:rsid w:val="00CE1318"/>
    <w:rsid w:val="00CE150B"/>
    <w:rsid w:val="00CE1D3C"/>
    <w:rsid w:val="00CE1DEC"/>
    <w:rsid w:val="00CE20E8"/>
    <w:rsid w:val="00CE21A4"/>
    <w:rsid w:val="00CE2315"/>
    <w:rsid w:val="00CE2503"/>
    <w:rsid w:val="00CE2526"/>
    <w:rsid w:val="00CE2635"/>
    <w:rsid w:val="00CE2677"/>
    <w:rsid w:val="00CE2679"/>
    <w:rsid w:val="00CE2A2D"/>
    <w:rsid w:val="00CE2D53"/>
    <w:rsid w:val="00CE33DD"/>
    <w:rsid w:val="00CE341D"/>
    <w:rsid w:val="00CE35F2"/>
    <w:rsid w:val="00CE365C"/>
    <w:rsid w:val="00CE371F"/>
    <w:rsid w:val="00CE3954"/>
    <w:rsid w:val="00CE3D2D"/>
    <w:rsid w:val="00CE3DB0"/>
    <w:rsid w:val="00CE3DBF"/>
    <w:rsid w:val="00CE417E"/>
    <w:rsid w:val="00CE4218"/>
    <w:rsid w:val="00CE43FC"/>
    <w:rsid w:val="00CE4664"/>
    <w:rsid w:val="00CE4ED4"/>
    <w:rsid w:val="00CE52FC"/>
    <w:rsid w:val="00CE5301"/>
    <w:rsid w:val="00CE5625"/>
    <w:rsid w:val="00CE56D7"/>
    <w:rsid w:val="00CE57BC"/>
    <w:rsid w:val="00CE5810"/>
    <w:rsid w:val="00CE591D"/>
    <w:rsid w:val="00CE5B87"/>
    <w:rsid w:val="00CE6160"/>
    <w:rsid w:val="00CE6371"/>
    <w:rsid w:val="00CE6897"/>
    <w:rsid w:val="00CE69C2"/>
    <w:rsid w:val="00CE6CB1"/>
    <w:rsid w:val="00CE6D77"/>
    <w:rsid w:val="00CE741D"/>
    <w:rsid w:val="00CE7515"/>
    <w:rsid w:val="00CE7548"/>
    <w:rsid w:val="00CE7616"/>
    <w:rsid w:val="00CE76CD"/>
    <w:rsid w:val="00CE79E1"/>
    <w:rsid w:val="00CE7BFF"/>
    <w:rsid w:val="00CE7E30"/>
    <w:rsid w:val="00CF02D4"/>
    <w:rsid w:val="00CF0507"/>
    <w:rsid w:val="00CF07F9"/>
    <w:rsid w:val="00CF0C7C"/>
    <w:rsid w:val="00CF119A"/>
    <w:rsid w:val="00CF11F6"/>
    <w:rsid w:val="00CF1225"/>
    <w:rsid w:val="00CF1318"/>
    <w:rsid w:val="00CF13F3"/>
    <w:rsid w:val="00CF1474"/>
    <w:rsid w:val="00CF1AD4"/>
    <w:rsid w:val="00CF1F1C"/>
    <w:rsid w:val="00CF1FEE"/>
    <w:rsid w:val="00CF2304"/>
    <w:rsid w:val="00CF2398"/>
    <w:rsid w:val="00CF27F2"/>
    <w:rsid w:val="00CF2A5B"/>
    <w:rsid w:val="00CF2B20"/>
    <w:rsid w:val="00CF2F56"/>
    <w:rsid w:val="00CF3137"/>
    <w:rsid w:val="00CF36CF"/>
    <w:rsid w:val="00CF3804"/>
    <w:rsid w:val="00CF3AD7"/>
    <w:rsid w:val="00CF421E"/>
    <w:rsid w:val="00CF4379"/>
    <w:rsid w:val="00CF44CC"/>
    <w:rsid w:val="00CF4578"/>
    <w:rsid w:val="00CF4A92"/>
    <w:rsid w:val="00CF4CC7"/>
    <w:rsid w:val="00CF4F1D"/>
    <w:rsid w:val="00CF51BC"/>
    <w:rsid w:val="00CF5380"/>
    <w:rsid w:val="00CF550B"/>
    <w:rsid w:val="00CF5996"/>
    <w:rsid w:val="00CF5B93"/>
    <w:rsid w:val="00CF5DEB"/>
    <w:rsid w:val="00CF5DFA"/>
    <w:rsid w:val="00CF5E85"/>
    <w:rsid w:val="00CF5EC1"/>
    <w:rsid w:val="00CF5EC7"/>
    <w:rsid w:val="00CF6217"/>
    <w:rsid w:val="00CF6230"/>
    <w:rsid w:val="00CF6320"/>
    <w:rsid w:val="00CF6390"/>
    <w:rsid w:val="00CF6897"/>
    <w:rsid w:val="00CF6B07"/>
    <w:rsid w:val="00CF6DDD"/>
    <w:rsid w:val="00CF6DFE"/>
    <w:rsid w:val="00CF734E"/>
    <w:rsid w:val="00CF7381"/>
    <w:rsid w:val="00CF73A9"/>
    <w:rsid w:val="00CF75F9"/>
    <w:rsid w:val="00CF7702"/>
    <w:rsid w:val="00CF780A"/>
    <w:rsid w:val="00CF7D09"/>
    <w:rsid w:val="00CF7D3C"/>
    <w:rsid w:val="00D000CF"/>
    <w:rsid w:val="00D0013B"/>
    <w:rsid w:val="00D0015F"/>
    <w:rsid w:val="00D001FC"/>
    <w:rsid w:val="00D002F6"/>
    <w:rsid w:val="00D00756"/>
    <w:rsid w:val="00D008BD"/>
    <w:rsid w:val="00D00941"/>
    <w:rsid w:val="00D00ABA"/>
    <w:rsid w:val="00D00B19"/>
    <w:rsid w:val="00D00C3F"/>
    <w:rsid w:val="00D01144"/>
    <w:rsid w:val="00D011EF"/>
    <w:rsid w:val="00D0140D"/>
    <w:rsid w:val="00D01784"/>
    <w:rsid w:val="00D01885"/>
    <w:rsid w:val="00D01B3C"/>
    <w:rsid w:val="00D01B56"/>
    <w:rsid w:val="00D01BA8"/>
    <w:rsid w:val="00D01C8B"/>
    <w:rsid w:val="00D01D10"/>
    <w:rsid w:val="00D01EEE"/>
    <w:rsid w:val="00D01F28"/>
    <w:rsid w:val="00D01F43"/>
    <w:rsid w:val="00D020BD"/>
    <w:rsid w:val="00D0223D"/>
    <w:rsid w:val="00D02593"/>
    <w:rsid w:val="00D028B6"/>
    <w:rsid w:val="00D028E2"/>
    <w:rsid w:val="00D02B95"/>
    <w:rsid w:val="00D02BF4"/>
    <w:rsid w:val="00D02DFE"/>
    <w:rsid w:val="00D03100"/>
    <w:rsid w:val="00D03203"/>
    <w:rsid w:val="00D033F9"/>
    <w:rsid w:val="00D03480"/>
    <w:rsid w:val="00D0395F"/>
    <w:rsid w:val="00D03DF1"/>
    <w:rsid w:val="00D03F6D"/>
    <w:rsid w:val="00D03FF6"/>
    <w:rsid w:val="00D043D7"/>
    <w:rsid w:val="00D045A5"/>
    <w:rsid w:val="00D046B2"/>
    <w:rsid w:val="00D04950"/>
    <w:rsid w:val="00D04AED"/>
    <w:rsid w:val="00D04F70"/>
    <w:rsid w:val="00D05306"/>
    <w:rsid w:val="00D053A0"/>
    <w:rsid w:val="00D05495"/>
    <w:rsid w:val="00D055BD"/>
    <w:rsid w:val="00D05C7A"/>
    <w:rsid w:val="00D06260"/>
    <w:rsid w:val="00D062B9"/>
    <w:rsid w:val="00D0630F"/>
    <w:rsid w:val="00D06403"/>
    <w:rsid w:val="00D0673F"/>
    <w:rsid w:val="00D067E0"/>
    <w:rsid w:val="00D0687C"/>
    <w:rsid w:val="00D06898"/>
    <w:rsid w:val="00D068B1"/>
    <w:rsid w:val="00D06D7B"/>
    <w:rsid w:val="00D06DDB"/>
    <w:rsid w:val="00D07290"/>
    <w:rsid w:val="00D072EA"/>
    <w:rsid w:val="00D07410"/>
    <w:rsid w:val="00D07447"/>
    <w:rsid w:val="00D074B5"/>
    <w:rsid w:val="00D07529"/>
    <w:rsid w:val="00D078BD"/>
    <w:rsid w:val="00D078CB"/>
    <w:rsid w:val="00D07982"/>
    <w:rsid w:val="00D07E23"/>
    <w:rsid w:val="00D07EB5"/>
    <w:rsid w:val="00D1006B"/>
    <w:rsid w:val="00D10D03"/>
    <w:rsid w:val="00D10E5C"/>
    <w:rsid w:val="00D10EF9"/>
    <w:rsid w:val="00D112CE"/>
    <w:rsid w:val="00D11309"/>
    <w:rsid w:val="00D1165E"/>
    <w:rsid w:val="00D118BB"/>
    <w:rsid w:val="00D119FB"/>
    <w:rsid w:val="00D11B39"/>
    <w:rsid w:val="00D11CA2"/>
    <w:rsid w:val="00D11F64"/>
    <w:rsid w:val="00D121AE"/>
    <w:rsid w:val="00D12624"/>
    <w:rsid w:val="00D127B5"/>
    <w:rsid w:val="00D128A8"/>
    <w:rsid w:val="00D129F0"/>
    <w:rsid w:val="00D1307F"/>
    <w:rsid w:val="00D13197"/>
    <w:rsid w:val="00D135F2"/>
    <w:rsid w:val="00D13760"/>
    <w:rsid w:val="00D13A62"/>
    <w:rsid w:val="00D1449A"/>
    <w:rsid w:val="00D1454B"/>
    <w:rsid w:val="00D145A5"/>
    <w:rsid w:val="00D14764"/>
    <w:rsid w:val="00D14799"/>
    <w:rsid w:val="00D14907"/>
    <w:rsid w:val="00D14A52"/>
    <w:rsid w:val="00D14F21"/>
    <w:rsid w:val="00D14F4D"/>
    <w:rsid w:val="00D151D5"/>
    <w:rsid w:val="00D157CE"/>
    <w:rsid w:val="00D16408"/>
    <w:rsid w:val="00D16471"/>
    <w:rsid w:val="00D1681C"/>
    <w:rsid w:val="00D168F5"/>
    <w:rsid w:val="00D16D79"/>
    <w:rsid w:val="00D171AB"/>
    <w:rsid w:val="00D17327"/>
    <w:rsid w:val="00D17490"/>
    <w:rsid w:val="00D17810"/>
    <w:rsid w:val="00D17A1C"/>
    <w:rsid w:val="00D17BDF"/>
    <w:rsid w:val="00D17CBB"/>
    <w:rsid w:val="00D17CD4"/>
    <w:rsid w:val="00D17E14"/>
    <w:rsid w:val="00D17EB7"/>
    <w:rsid w:val="00D17FF5"/>
    <w:rsid w:val="00D20686"/>
    <w:rsid w:val="00D208EE"/>
    <w:rsid w:val="00D20BA8"/>
    <w:rsid w:val="00D20D61"/>
    <w:rsid w:val="00D20FE1"/>
    <w:rsid w:val="00D2120C"/>
    <w:rsid w:val="00D213D0"/>
    <w:rsid w:val="00D21532"/>
    <w:rsid w:val="00D216C3"/>
    <w:rsid w:val="00D21766"/>
    <w:rsid w:val="00D217BB"/>
    <w:rsid w:val="00D21B31"/>
    <w:rsid w:val="00D21C41"/>
    <w:rsid w:val="00D21C7A"/>
    <w:rsid w:val="00D21D61"/>
    <w:rsid w:val="00D220CD"/>
    <w:rsid w:val="00D22496"/>
    <w:rsid w:val="00D224FC"/>
    <w:rsid w:val="00D2256E"/>
    <w:rsid w:val="00D2260C"/>
    <w:rsid w:val="00D226DC"/>
    <w:rsid w:val="00D2270F"/>
    <w:rsid w:val="00D22A0C"/>
    <w:rsid w:val="00D2357D"/>
    <w:rsid w:val="00D235D2"/>
    <w:rsid w:val="00D23A5E"/>
    <w:rsid w:val="00D23C9B"/>
    <w:rsid w:val="00D23F52"/>
    <w:rsid w:val="00D24081"/>
    <w:rsid w:val="00D2434A"/>
    <w:rsid w:val="00D247E1"/>
    <w:rsid w:val="00D248B1"/>
    <w:rsid w:val="00D24BA1"/>
    <w:rsid w:val="00D24E3D"/>
    <w:rsid w:val="00D250F5"/>
    <w:rsid w:val="00D25180"/>
    <w:rsid w:val="00D25605"/>
    <w:rsid w:val="00D256C1"/>
    <w:rsid w:val="00D259DC"/>
    <w:rsid w:val="00D25E45"/>
    <w:rsid w:val="00D26204"/>
    <w:rsid w:val="00D26629"/>
    <w:rsid w:val="00D268B8"/>
    <w:rsid w:val="00D26C2E"/>
    <w:rsid w:val="00D26CEC"/>
    <w:rsid w:val="00D26DAE"/>
    <w:rsid w:val="00D275FC"/>
    <w:rsid w:val="00D27942"/>
    <w:rsid w:val="00D27953"/>
    <w:rsid w:val="00D27AB0"/>
    <w:rsid w:val="00D3034B"/>
    <w:rsid w:val="00D30457"/>
    <w:rsid w:val="00D30E10"/>
    <w:rsid w:val="00D31041"/>
    <w:rsid w:val="00D31057"/>
    <w:rsid w:val="00D31211"/>
    <w:rsid w:val="00D31351"/>
    <w:rsid w:val="00D31354"/>
    <w:rsid w:val="00D313C6"/>
    <w:rsid w:val="00D31517"/>
    <w:rsid w:val="00D31610"/>
    <w:rsid w:val="00D317BC"/>
    <w:rsid w:val="00D3198F"/>
    <w:rsid w:val="00D3258B"/>
    <w:rsid w:val="00D32632"/>
    <w:rsid w:val="00D32674"/>
    <w:rsid w:val="00D327D8"/>
    <w:rsid w:val="00D3286C"/>
    <w:rsid w:val="00D32988"/>
    <w:rsid w:val="00D32B3A"/>
    <w:rsid w:val="00D32DA2"/>
    <w:rsid w:val="00D32E10"/>
    <w:rsid w:val="00D32F0B"/>
    <w:rsid w:val="00D32F80"/>
    <w:rsid w:val="00D334FA"/>
    <w:rsid w:val="00D3357A"/>
    <w:rsid w:val="00D33602"/>
    <w:rsid w:val="00D33786"/>
    <w:rsid w:val="00D33FFB"/>
    <w:rsid w:val="00D34307"/>
    <w:rsid w:val="00D3438B"/>
    <w:rsid w:val="00D3465D"/>
    <w:rsid w:val="00D3516C"/>
    <w:rsid w:val="00D352AF"/>
    <w:rsid w:val="00D35306"/>
    <w:rsid w:val="00D35401"/>
    <w:rsid w:val="00D3575B"/>
    <w:rsid w:val="00D35846"/>
    <w:rsid w:val="00D35927"/>
    <w:rsid w:val="00D35B78"/>
    <w:rsid w:val="00D36071"/>
    <w:rsid w:val="00D363B2"/>
    <w:rsid w:val="00D3669F"/>
    <w:rsid w:val="00D367D4"/>
    <w:rsid w:val="00D36884"/>
    <w:rsid w:val="00D368B3"/>
    <w:rsid w:val="00D36A93"/>
    <w:rsid w:val="00D36B0A"/>
    <w:rsid w:val="00D36E94"/>
    <w:rsid w:val="00D37069"/>
    <w:rsid w:val="00D3728D"/>
    <w:rsid w:val="00D372C6"/>
    <w:rsid w:val="00D3740A"/>
    <w:rsid w:val="00D37730"/>
    <w:rsid w:val="00D37DDA"/>
    <w:rsid w:val="00D37F38"/>
    <w:rsid w:val="00D37F6E"/>
    <w:rsid w:val="00D37FCA"/>
    <w:rsid w:val="00D403CD"/>
    <w:rsid w:val="00D4050D"/>
    <w:rsid w:val="00D407D6"/>
    <w:rsid w:val="00D41004"/>
    <w:rsid w:val="00D41144"/>
    <w:rsid w:val="00D41146"/>
    <w:rsid w:val="00D413F6"/>
    <w:rsid w:val="00D4164F"/>
    <w:rsid w:val="00D416F5"/>
    <w:rsid w:val="00D418CC"/>
    <w:rsid w:val="00D41ADA"/>
    <w:rsid w:val="00D41D73"/>
    <w:rsid w:val="00D41D84"/>
    <w:rsid w:val="00D41DC3"/>
    <w:rsid w:val="00D41ECE"/>
    <w:rsid w:val="00D42287"/>
    <w:rsid w:val="00D424F8"/>
    <w:rsid w:val="00D42577"/>
    <w:rsid w:val="00D4284A"/>
    <w:rsid w:val="00D42C66"/>
    <w:rsid w:val="00D43039"/>
    <w:rsid w:val="00D4313A"/>
    <w:rsid w:val="00D43408"/>
    <w:rsid w:val="00D435D0"/>
    <w:rsid w:val="00D43B53"/>
    <w:rsid w:val="00D43B7C"/>
    <w:rsid w:val="00D43C64"/>
    <w:rsid w:val="00D4402E"/>
    <w:rsid w:val="00D4443B"/>
    <w:rsid w:val="00D444B0"/>
    <w:rsid w:val="00D444E8"/>
    <w:rsid w:val="00D446C7"/>
    <w:rsid w:val="00D4495E"/>
    <w:rsid w:val="00D44A72"/>
    <w:rsid w:val="00D44AB3"/>
    <w:rsid w:val="00D44CAF"/>
    <w:rsid w:val="00D44DF2"/>
    <w:rsid w:val="00D44F1F"/>
    <w:rsid w:val="00D4502B"/>
    <w:rsid w:val="00D45183"/>
    <w:rsid w:val="00D451E4"/>
    <w:rsid w:val="00D452DF"/>
    <w:rsid w:val="00D453C2"/>
    <w:rsid w:val="00D4578D"/>
    <w:rsid w:val="00D45D05"/>
    <w:rsid w:val="00D460C7"/>
    <w:rsid w:val="00D46216"/>
    <w:rsid w:val="00D46511"/>
    <w:rsid w:val="00D4651A"/>
    <w:rsid w:val="00D4684B"/>
    <w:rsid w:val="00D46D28"/>
    <w:rsid w:val="00D46E18"/>
    <w:rsid w:val="00D47643"/>
    <w:rsid w:val="00D476A2"/>
    <w:rsid w:val="00D47CAE"/>
    <w:rsid w:val="00D47E1B"/>
    <w:rsid w:val="00D47E95"/>
    <w:rsid w:val="00D50263"/>
    <w:rsid w:val="00D50381"/>
    <w:rsid w:val="00D505EF"/>
    <w:rsid w:val="00D50711"/>
    <w:rsid w:val="00D507C6"/>
    <w:rsid w:val="00D50A57"/>
    <w:rsid w:val="00D50CA8"/>
    <w:rsid w:val="00D5121A"/>
    <w:rsid w:val="00D51273"/>
    <w:rsid w:val="00D5174E"/>
    <w:rsid w:val="00D518BB"/>
    <w:rsid w:val="00D51903"/>
    <w:rsid w:val="00D51A32"/>
    <w:rsid w:val="00D51B5B"/>
    <w:rsid w:val="00D51F10"/>
    <w:rsid w:val="00D52081"/>
    <w:rsid w:val="00D520CB"/>
    <w:rsid w:val="00D5237A"/>
    <w:rsid w:val="00D523F9"/>
    <w:rsid w:val="00D52448"/>
    <w:rsid w:val="00D5251D"/>
    <w:rsid w:val="00D5268C"/>
    <w:rsid w:val="00D527FA"/>
    <w:rsid w:val="00D5311C"/>
    <w:rsid w:val="00D53236"/>
    <w:rsid w:val="00D535DC"/>
    <w:rsid w:val="00D539DB"/>
    <w:rsid w:val="00D53A9A"/>
    <w:rsid w:val="00D53B71"/>
    <w:rsid w:val="00D53D94"/>
    <w:rsid w:val="00D54728"/>
    <w:rsid w:val="00D54756"/>
    <w:rsid w:val="00D54831"/>
    <w:rsid w:val="00D5487D"/>
    <w:rsid w:val="00D54C93"/>
    <w:rsid w:val="00D54D12"/>
    <w:rsid w:val="00D54E30"/>
    <w:rsid w:val="00D54E88"/>
    <w:rsid w:val="00D54F0D"/>
    <w:rsid w:val="00D55077"/>
    <w:rsid w:val="00D55191"/>
    <w:rsid w:val="00D55948"/>
    <w:rsid w:val="00D55A7B"/>
    <w:rsid w:val="00D55ADB"/>
    <w:rsid w:val="00D55B0B"/>
    <w:rsid w:val="00D55B2F"/>
    <w:rsid w:val="00D55BC1"/>
    <w:rsid w:val="00D55DCD"/>
    <w:rsid w:val="00D55E95"/>
    <w:rsid w:val="00D55F68"/>
    <w:rsid w:val="00D55F69"/>
    <w:rsid w:val="00D55FCD"/>
    <w:rsid w:val="00D5604A"/>
    <w:rsid w:val="00D5618E"/>
    <w:rsid w:val="00D56247"/>
    <w:rsid w:val="00D56617"/>
    <w:rsid w:val="00D568EF"/>
    <w:rsid w:val="00D56CBF"/>
    <w:rsid w:val="00D56F6B"/>
    <w:rsid w:val="00D56FEA"/>
    <w:rsid w:val="00D57070"/>
    <w:rsid w:val="00D570DB"/>
    <w:rsid w:val="00D57352"/>
    <w:rsid w:val="00D574A2"/>
    <w:rsid w:val="00D576A7"/>
    <w:rsid w:val="00D576CE"/>
    <w:rsid w:val="00D57AEB"/>
    <w:rsid w:val="00D6002C"/>
    <w:rsid w:val="00D60040"/>
    <w:rsid w:val="00D60640"/>
    <w:rsid w:val="00D608FD"/>
    <w:rsid w:val="00D60B3F"/>
    <w:rsid w:val="00D60BF7"/>
    <w:rsid w:val="00D60DA8"/>
    <w:rsid w:val="00D61532"/>
    <w:rsid w:val="00D615FA"/>
    <w:rsid w:val="00D61636"/>
    <w:rsid w:val="00D61813"/>
    <w:rsid w:val="00D61A97"/>
    <w:rsid w:val="00D61C18"/>
    <w:rsid w:val="00D61C3F"/>
    <w:rsid w:val="00D61E09"/>
    <w:rsid w:val="00D62136"/>
    <w:rsid w:val="00D623BC"/>
    <w:rsid w:val="00D62775"/>
    <w:rsid w:val="00D629F6"/>
    <w:rsid w:val="00D62DAF"/>
    <w:rsid w:val="00D62DE7"/>
    <w:rsid w:val="00D62EE8"/>
    <w:rsid w:val="00D63114"/>
    <w:rsid w:val="00D63462"/>
    <w:rsid w:val="00D63544"/>
    <w:rsid w:val="00D6368A"/>
    <w:rsid w:val="00D636E8"/>
    <w:rsid w:val="00D63AE4"/>
    <w:rsid w:val="00D63B22"/>
    <w:rsid w:val="00D63D0C"/>
    <w:rsid w:val="00D63D14"/>
    <w:rsid w:val="00D63D91"/>
    <w:rsid w:val="00D63DB6"/>
    <w:rsid w:val="00D641AF"/>
    <w:rsid w:val="00D64645"/>
    <w:rsid w:val="00D64714"/>
    <w:rsid w:val="00D64823"/>
    <w:rsid w:val="00D64869"/>
    <w:rsid w:val="00D64D59"/>
    <w:rsid w:val="00D64D63"/>
    <w:rsid w:val="00D64F6C"/>
    <w:rsid w:val="00D65002"/>
    <w:rsid w:val="00D65157"/>
    <w:rsid w:val="00D65CC7"/>
    <w:rsid w:val="00D66123"/>
    <w:rsid w:val="00D661FD"/>
    <w:rsid w:val="00D66201"/>
    <w:rsid w:val="00D663BB"/>
    <w:rsid w:val="00D66615"/>
    <w:rsid w:val="00D66FAC"/>
    <w:rsid w:val="00D670D9"/>
    <w:rsid w:val="00D675D1"/>
    <w:rsid w:val="00D677E3"/>
    <w:rsid w:val="00D678D1"/>
    <w:rsid w:val="00D67BB9"/>
    <w:rsid w:val="00D67BE1"/>
    <w:rsid w:val="00D67C66"/>
    <w:rsid w:val="00D700FF"/>
    <w:rsid w:val="00D704B4"/>
    <w:rsid w:val="00D70781"/>
    <w:rsid w:val="00D70793"/>
    <w:rsid w:val="00D70B6E"/>
    <w:rsid w:val="00D71073"/>
    <w:rsid w:val="00D710D5"/>
    <w:rsid w:val="00D71625"/>
    <w:rsid w:val="00D71BC4"/>
    <w:rsid w:val="00D71BE7"/>
    <w:rsid w:val="00D7234C"/>
    <w:rsid w:val="00D7248F"/>
    <w:rsid w:val="00D72DBF"/>
    <w:rsid w:val="00D73069"/>
    <w:rsid w:val="00D7361C"/>
    <w:rsid w:val="00D738A6"/>
    <w:rsid w:val="00D738F2"/>
    <w:rsid w:val="00D7399F"/>
    <w:rsid w:val="00D73A87"/>
    <w:rsid w:val="00D73D62"/>
    <w:rsid w:val="00D73D87"/>
    <w:rsid w:val="00D745B0"/>
    <w:rsid w:val="00D7469A"/>
    <w:rsid w:val="00D74AF3"/>
    <w:rsid w:val="00D74DBE"/>
    <w:rsid w:val="00D74DEE"/>
    <w:rsid w:val="00D74F94"/>
    <w:rsid w:val="00D75128"/>
    <w:rsid w:val="00D75444"/>
    <w:rsid w:val="00D75951"/>
    <w:rsid w:val="00D75991"/>
    <w:rsid w:val="00D75A0C"/>
    <w:rsid w:val="00D75E39"/>
    <w:rsid w:val="00D75EAC"/>
    <w:rsid w:val="00D76114"/>
    <w:rsid w:val="00D761C0"/>
    <w:rsid w:val="00D762BC"/>
    <w:rsid w:val="00D76358"/>
    <w:rsid w:val="00D76517"/>
    <w:rsid w:val="00D76657"/>
    <w:rsid w:val="00D76828"/>
    <w:rsid w:val="00D77179"/>
    <w:rsid w:val="00D771F3"/>
    <w:rsid w:val="00D774D2"/>
    <w:rsid w:val="00D77602"/>
    <w:rsid w:val="00D777D2"/>
    <w:rsid w:val="00D77855"/>
    <w:rsid w:val="00D77ABC"/>
    <w:rsid w:val="00D77BB4"/>
    <w:rsid w:val="00D77D32"/>
    <w:rsid w:val="00D80190"/>
    <w:rsid w:val="00D80191"/>
    <w:rsid w:val="00D801C6"/>
    <w:rsid w:val="00D80397"/>
    <w:rsid w:val="00D804C2"/>
    <w:rsid w:val="00D80B74"/>
    <w:rsid w:val="00D80E74"/>
    <w:rsid w:val="00D80E86"/>
    <w:rsid w:val="00D80EF9"/>
    <w:rsid w:val="00D810A2"/>
    <w:rsid w:val="00D813AE"/>
    <w:rsid w:val="00D81689"/>
    <w:rsid w:val="00D81A07"/>
    <w:rsid w:val="00D822A5"/>
    <w:rsid w:val="00D827C2"/>
    <w:rsid w:val="00D827DC"/>
    <w:rsid w:val="00D82DA5"/>
    <w:rsid w:val="00D82DB1"/>
    <w:rsid w:val="00D82DE1"/>
    <w:rsid w:val="00D82FD2"/>
    <w:rsid w:val="00D8319C"/>
    <w:rsid w:val="00D832F1"/>
    <w:rsid w:val="00D835C9"/>
    <w:rsid w:val="00D837B4"/>
    <w:rsid w:val="00D8383F"/>
    <w:rsid w:val="00D83C2A"/>
    <w:rsid w:val="00D84260"/>
    <w:rsid w:val="00D84278"/>
    <w:rsid w:val="00D842B7"/>
    <w:rsid w:val="00D8471A"/>
    <w:rsid w:val="00D8471E"/>
    <w:rsid w:val="00D847F2"/>
    <w:rsid w:val="00D84864"/>
    <w:rsid w:val="00D848BB"/>
    <w:rsid w:val="00D84A9E"/>
    <w:rsid w:val="00D8549A"/>
    <w:rsid w:val="00D85713"/>
    <w:rsid w:val="00D85E85"/>
    <w:rsid w:val="00D86081"/>
    <w:rsid w:val="00D86C32"/>
    <w:rsid w:val="00D86D1D"/>
    <w:rsid w:val="00D8717A"/>
    <w:rsid w:val="00D87745"/>
    <w:rsid w:val="00D87793"/>
    <w:rsid w:val="00D877E2"/>
    <w:rsid w:val="00D879D9"/>
    <w:rsid w:val="00D879F7"/>
    <w:rsid w:val="00D87D87"/>
    <w:rsid w:val="00D901B8"/>
    <w:rsid w:val="00D902B6"/>
    <w:rsid w:val="00D90340"/>
    <w:rsid w:val="00D90586"/>
    <w:rsid w:val="00D905AC"/>
    <w:rsid w:val="00D907BD"/>
    <w:rsid w:val="00D90876"/>
    <w:rsid w:val="00D90978"/>
    <w:rsid w:val="00D90DDD"/>
    <w:rsid w:val="00D90FEA"/>
    <w:rsid w:val="00D91031"/>
    <w:rsid w:val="00D911A6"/>
    <w:rsid w:val="00D91737"/>
    <w:rsid w:val="00D91F4B"/>
    <w:rsid w:val="00D921F1"/>
    <w:rsid w:val="00D92442"/>
    <w:rsid w:val="00D92755"/>
    <w:rsid w:val="00D9280E"/>
    <w:rsid w:val="00D928E6"/>
    <w:rsid w:val="00D928FE"/>
    <w:rsid w:val="00D932FA"/>
    <w:rsid w:val="00D93A71"/>
    <w:rsid w:val="00D93BE7"/>
    <w:rsid w:val="00D93F50"/>
    <w:rsid w:val="00D93FD5"/>
    <w:rsid w:val="00D94278"/>
    <w:rsid w:val="00D945C6"/>
    <w:rsid w:val="00D94659"/>
    <w:rsid w:val="00D94821"/>
    <w:rsid w:val="00D95116"/>
    <w:rsid w:val="00D9552E"/>
    <w:rsid w:val="00D95641"/>
    <w:rsid w:val="00D95B77"/>
    <w:rsid w:val="00D95BCD"/>
    <w:rsid w:val="00D95F8B"/>
    <w:rsid w:val="00D963C6"/>
    <w:rsid w:val="00D96A28"/>
    <w:rsid w:val="00D96C58"/>
    <w:rsid w:val="00D96F70"/>
    <w:rsid w:val="00D97102"/>
    <w:rsid w:val="00D972B4"/>
    <w:rsid w:val="00D9741A"/>
    <w:rsid w:val="00D97846"/>
    <w:rsid w:val="00D978B8"/>
    <w:rsid w:val="00D9794A"/>
    <w:rsid w:val="00D97C6D"/>
    <w:rsid w:val="00D97C86"/>
    <w:rsid w:val="00D97E91"/>
    <w:rsid w:val="00D97F33"/>
    <w:rsid w:val="00DA023A"/>
    <w:rsid w:val="00DA02E1"/>
    <w:rsid w:val="00DA0388"/>
    <w:rsid w:val="00DA0606"/>
    <w:rsid w:val="00DA0619"/>
    <w:rsid w:val="00DA06B7"/>
    <w:rsid w:val="00DA073F"/>
    <w:rsid w:val="00DA0860"/>
    <w:rsid w:val="00DA0E63"/>
    <w:rsid w:val="00DA0F63"/>
    <w:rsid w:val="00DA101F"/>
    <w:rsid w:val="00DA1374"/>
    <w:rsid w:val="00DA18DD"/>
    <w:rsid w:val="00DA1B06"/>
    <w:rsid w:val="00DA1BF0"/>
    <w:rsid w:val="00DA1C57"/>
    <w:rsid w:val="00DA1CBC"/>
    <w:rsid w:val="00DA1E55"/>
    <w:rsid w:val="00DA2010"/>
    <w:rsid w:val="00DA22C4"/>
    <w:rsid w:val="00DA29F9"/>
    <w:rsid w:val="00DA2A2C"/>
    <w:rsid w:val="00DA2B17"/>
    <w:rsid w:val="00DA2BEB"/>
    <w:rsid w:val="00DA313B"/>
    <w:rsid w:val="00DA3305"/>
    <w:rsid w:val="00DA3558"/>
    <w:rsid w:val="00DA3831"/>
    <w:rsid w:val="00DA3E16"/>
    <w:rsid w:val="00DA3FEA"/>
    <w:rsid w:val="00DA4656"/>
    <w:rsid w:val="00DA4938"/>
    <w:rsid w:val="00DA4AF4"/>
    <w:rsid w:val="00DA4B06"/>
    <w:rsid w:val="00DA4BD9"/>
    <w:rsid w:val="00DA4D69"/>
    <w:rsid w:val="00DA4EE9"/>
    <w:rsid w:val="00DA4F6E"/>
    <w:rsid w:val="00DA4F82"/>
    <w:rsid w:val="00DA510D"/>
    <w:rsid w:val="00DA57C5"/>
    <w:rsid w:val="00DA58EA"/>
    <w:rsid w:val="00DA5AA8"/>
    <w:rsid w:val="00DA5CB2"/>
    <w:rsid w:val="00DA5EAF"/>
    <w:rsid w:val="00DA5F4B"/>
    <w:rsid w:val="00DA5FA9"/>
    <w:rsid w:val="00DA62BA"/>
    <w:rsid w:val="00DA67F8"/>
    <w:rsid w:val="00DA6B0D"/>
    <w:rsid w:val="00DA6BA3"/>
    <w:rsid w:val="00DA6BD6"/>
    <w:rsid w:val="00DA6C70"/>
    <w:rsid w:val="00DA6F86"/>
    <w:rsid w:val="00DA73C5"/>
    <w:rsid w:val="00DA7682"/>
    <w:rsid w:val="00DA77AC"/>
    <w:rsid w:val="00DA7839"/>
    <w:rsid w:val="00DA7AC1"/>
    <w:rsid w:val="00DA7B7A"/>
    <w:rsid w:val="00DA7E11"/>
    <w:rsid w:val="00DA7E4E"/>
    <w:rsid w:val="00DB0184"/>
    <w:rsid w:val="00DB02E4"/>
    <w:rsid w:val="00DB03F4"/>
    <w:rsid w:val="00DB053C"/>
    <w:rsid w:val="00DB0F30"/>
    <w:rsid w:val="00DB0FFB"/>
    <w:rsid w:val="00DB11EA"/>
    <w:rsid w:val="00DB1258"/>
    <w:rsid w:val="00DB147D"/>
    <w:rsid w:val="00DB15F8"/>
    <w:rsid w:val="00DB1652"/>
    <w:rsid w:val="00DB1842"/>
    <w:rsid w:val="00DB1B42"/>
    <w:rsid w:val="00DB1C90"/>
    <w:rsid w:val="00DB1D28"/>
    <w:rsid w:val="00DB2232"/>
    <w:rsid w:val="00DB241F"/>
    <w:rsid w:val="00DB28C1"/>
    <w:rsid w:val="00DB29EA"/>
    <w:rsid w:val="00DB2E92"/>
    <w:rsid w:val="00DB333F"/>
    <w:rsid w:val="00DB3447"/>
    <w:rsid w:val="00DB3702"/>
    <w:rsid w:val="00DB3B89"/>
    <w:rsid w:val="00DB3D3E"/>
    <w:rsid w:val="00DB3D49"/>
    <w:rsid w:val="00DB408B"/>
    <w:rsid w:val="00DB410E"/>
    <w:rsid w:val="00DB42A8"/>
    <w:rsid w:val="00DB43FD"/>
    <w:rsid w:val="00DB46E6"/>
    <w:rsid w:val="00DB4776"/>
    <w:rsid w:val="00DB4805"/>
    <w:rsid w:val="00DB48D9"/>
    <w:rsid w:val="00DB4DC4"/>
    <w:rsid w:val="00DB4F3F"/>
    <w:rsid w:val="00DB515A"/>
    <w:rsid w:val="00DB55B0"/>
    <w:rsid w:val="00DB5695"/>
    <w:rsid w:val="00DB58B6"/>
    <w:rsid w:val="00DB5A8E"/>
    <w:rsid w:val="00DB5FDE"/>
    <w:rsid w:val="00DB608E"/>
    <w:rsid w:val="00DB612C"/>
    <w:rsid w:val="00DB6D0A"/>
    <w:rsid w:val="00DB6D9F"/>
    <w:rsid w:val="00DB6EF2"/>
    <w:rsid w:val="00DB6FC2"/>
    <w:rsid w:val="00DB7958"/>
    <w:rsid w:val="00DB7B1B"/>
    <w:rsid w:val="00DB7F4B"/>
    <w:rsid w:val="00DC044F"/>
    <w:rsid w:val="00DC0968"/>
    <w:rsid w:val="00DC0B24"/>
    <w:rsid w:val="00DC0E2D"/>
    <w:rsid w:val="00DC0EDC"/>
    <w:rsid w:val="00DC0F4C"/>
    <w:rsid w:val="00DC0FB6"/>
    <w:rsid w:val="00DC150F"/>
    <w:rsid w:val="00DC1796"/>
    <w:rsid w:val="00DC18E5"/>
    <w:rsid w:val="00DC202B"/>
    <w:rsid w:val="00DC2253"/>
    <w:rsid w:val="00DC2478"/>
    <w:rsid w:val="00DC2525"/>
    <w:rsid w:val="00DC262C"/>
    <w:rsid w:val="00DC2973"/>
    <w:rsid w:val="00DC2C3B"/>
    <w:rsid w:val="00DC2C72"/>
    <w:rsid w:val="00DC2CE6"/>
    <w:rsid w:val="00DC2E60"/>
    <w:rsid w:val="00DC2F58"/>
    <w:rsid w:val="00DC335D"/>
    <w:rsid w:val="00DC33B3"/>
    <w:rsid w:val="00DC3492"/>
    <w:rsid w:val="00DC350B"/>
    <w:rsid w:val="00DC4001"/>
    <w:rsid w:val="00DC4175"/>
    <w:rsid w:val="00DC422D"/>
    <w:rsid w:val="00DC43A2"/>
    <w:rsid w:val="00DC4579"/>
    <w:rsid w:val="00DC46D4"/>
    <w:rsid w:val="00DC47E7"/>
    <w:rsid w:val="00DC4D5A"/>
    <w:rsid w:val="00DC516A"/>
    <w:rsid w:val="00DC595A"/>
    <w:rsid w:val="00DC5B2F"/>
    <w:rsid w:val="00DC5FC7"/>
    <w:rsid w:val="00DC6034"/>
    <w:rsid w:val="00DC623A"/>
    <w:rsid w:val="00DC64E5"/>
    <w:rsid w:val="00DC6507"/>
    <w:rsid w:val="00DC6DE3"/>
    <w:rsid w:val="00DC6F65"/>
    <w:rsid w:val="00DC6FC3"/>
    <w:rsid w:val="00DC6FF6"/>
    <w:rsid w:val="00DC7014"/>
    <w:rsid w:val="00DC7096"/>
    <w:rsid w:val="00DC7175"/>
    <w:rsid w:val="00DC71DA"/>
    <w:rsid w:val="00DC74C8"/>
    <w:rsid w:val="00DC77E9"/>
    <w:rsid w:val="00DC79FC"/>
    <w:rsid w:val="00DC7FDB"/>
    <w:rsid w:val="00DD00AE"/>
    <w:rsid w:val="00DD00D7"/>
    <w:rsid w:val="00DD048E"/>
    <w:rsid w:val="00DD04A1"/>
    <w:rsid w:val="00DD04DC"/>
    <w:rsid w:val="00DD084A"/>
    <w:rsid w:val="00DD0996"/>
    <w:rsid w:val="00DD153B"/>
    <w:rsid w:val="00DD177C"/>
    <w:rsid w:val="00DD1A25"/>
    <w:rsid w:val="00DD1ED9"/>
    <w:rsid w:val="00DD226C"/>
    <w:rsid w:val="00DD2498"/>
    <w:rsid w:val="00DD26C1"/>
    <w:rsid w:val="00DD2748"/>
    <w:rsid w:val="00DD2D6C"/>
    <w:rsid w:val="00DD2F47"/>
    <w:rsid w:val="00DD30ED"/>
    <w:rsid w:val="00DD3379"/>
    <w:rsid w:val="00DD3432"/>
    <w:rsid w:val="00DD39DC"/>
    <w:rsid w:val="00DD3E02"/>
    <w:rsid w:val="00DD3F99"/>
    <w:rsid w:val="00DD40E7"/>
    <w:rsid w:val="00DD4199"/>
    <w:rsid w:val="00DD47A5"/>
    <w:rsid w:val="00DD4ABB"/>
    <w:rsid w:val="00DD4CBF"/>
    <w:rsid w:val="00DD4D85"/>
    <w:rsid w:val="00DD559A"/>
    <w:rsid w:val="00DD5604"/>
    <w:rsid w:val="00DD611B"/>
    <w:rsid w:val="00DD654A"/>
    <w:rsid w:val="00DD6692"/>
    <w:rsid w:val="00DD6A48"/>
    <w:rsid w:val="00DD6B1C"/>
    <w:rsid w:val="00DD6C93"/>
    <w:rsid w:val="00DD6DA6"/>
    <w:rsid w:val="00DD6F25"/>
    <w:rsid w:val="00DD709E"/>
    <w:rsid w:val="00DD70DF"/>
    <w:rsid w:val="00DD7891"/>
    <w:rsid w:val="00DD7E9B"/>
    <w:rsid w:val="00DE0347"/>
    <w:rsid w:val="00DE0421"/>
    <w:rsid w:val="00DE0538"/>
    <w:rsid w:val="00DE068D"/>
    <w:rsid w:val="00DE06D7"/>
    <w:rsid w:val="00DE07B7"/>
    <w:rsid w:val="00DE0865"/>
    <w:rsid w:val="00DE08F1"/>
    <w:rsid w:val="00DE0F87"/>
    <w:rsid w:val="00DE1043"/>
    <w:rsid w:val="00DE1521"/>
    <w:rsid w:val="00DE17B0"/>
    <w:rsid w:val="00DE1956"/>
    <w:rsid w:val="00DE1B15"/>
    <w:rsid w:val="00DE1B42"/>
    <w:rsid w:val="00DE1BE0"/>
    <w:rsid w:val="00DE1C0F"/>
    <w:rsid w:val="00DE1C59"/>
    <w:rsid w:val="00DE1F9E"/>
    <w:rsid w:val="00DE20D6"/>
    <w:rsid w:val="00DE210D"/>
    <w:rsid w:val="00DE2117"/>
    <w:rsid w:val="00DE2418"/>
    <w:rsid w:val="00DE2AD3"/>
    <w:rsid w:val="00DE2C8D"/>
    <w:rsid w:val="00DE2DA1"/>
    <w:rsid w:val="00DE2ED2"/>
    <w:rsid w:val="00DE2F60"/>
    <w:rsid w:val="00DE31C8"/>
    <w:rsid w:val="00DE3208"/>
    <w:rsid w:val="00DE3785"/>
    <w:rsid w:val="00DE3AE4"/>
    <w:rsid w:val="00DE3C9B"/>
    <w:rsid w:val="00DE3CFF"/>
    <w:rsid w:val="00DE40B9"/>
    <w:rsid w:val="00DE40CF"/>
    <w:rsid w:val="00DE4122"/>
    <w:rsid w:val="00DE4142"/>
    <w:rsid w:val="00DE42B6"/>
    <w:rsid w:val="00DE4862"/>
    <w:rsid w:val="00DE4883"/>
    <w:rsid w:val="00DE4A69"/>
    <w:rsid w:val="00DE4C77"/>
    <w:rsid w:val="00DE4DD2"/>
    <w:rsid w:val="00DE4E45"/>
    <w:rsid w:val="00DE5180"/>
    <w:rsid w:val="00DE51AF"/>
    <w:rsid w:val="00DE5365"/>
    <w:rsid w:val="00DE54A1"/>
    <w:rsid w:val="00DE5660"/>
    <w:rsid w:val="00DE58A9"/>
    <w:rsid w:val="00DE58ED"/>
    <w:rsid w:val="00DE5B2D"/>
    <w:rsid w:val="00DE5D13"/>
    <w:rsid w:val="00DE62B0"/>
    <w:rsid w:val="00DE62F3"/>
    <w:rsid w:val="00DE6373"/>
    <w:rsid w:val="00DE67E4"/>
    <w:rsid w:val="00DE693A"/>
    <w:rsid w:val="00DE6AF0"/>
    <w:rsid w:val="00DE6B72"/>
    <w:rsid w:val="00DE6D62"/>
    <w:rsid w:val="00DE6D7C"/>
    <w:rsid w:val="00DE72ED"/>
    <w:rsid w:val="00DE72FC"/>
    <w:rsid w:val="00DE777C"/>
    <w:rsid w:val="00DE78D4"/>
    <w:rsid w:val="00DE7B08"/>
    <w:rsid w:val="00DF008B"/>
    <w:rsid w:val="00DF01FC"/>
    <w:rsid w:val="00DF03A2"/>
    <w:rsid w:val="00DF0418"/>
    <w:rsid w:val="00DF0732"/>
    <w:rsid w:val="00DF0A0A"/>
    <w:rsid w:val="00DF0F57"/>
    <w:rsid w:val="00DF108B"/>
    <w:rsid w:val="00DF10E5"/>
    <w:rsid w:val="00DF115B"/>
    <w:rsid w:val="00DF1562"/>
    <w:rsid w:val="00DF1573"/>
    <w:rsid w:val="00DF1810"/>
    <w:rsid w:val="00DF19E9"/>
    <w:rsid w:val="00DF2268"/>
    <w:rsid w:val="00DF2389"/>
    <w:rsid w:val="00DF2487"/>
    <w:rsid w:val="00DF26BD"/>
    <w:rsid w:val="00DF2E2E"/>
    <w:rsid w:val="00DF2F41"/>
    <w:rsid w:val="00DF3093"/>
    <w:rsid w:val="00DF322B"/>
    <w:rsid w:val="00DF325C"/>
    <w:rsid w:val="00DF349F"/>
    <w:rsid w:val="00DF35B5"/>
    <w:rsid w:val="00DF375D"/>
    <w:rsid w:val="00DF3AF2"/>
    <w:rsid w:val="00DF3BC9"/>
    <w:rsid w:val="00DF3C1C"/>
    <w:rsid w:val="00DF4014"/>
    <w:rsid w:val="00DF40B3"/>
    <w:rsid w:val="00DF4295"/>
    <w:rsid w:val="00DF43E7"/>
    <w:rsid w:val="00DF4439"/>
    <w:rsid w:val="00DF4587"/>
    <w:rsid w:val="00DF46BC"/>
    <w:rsid w:val="00DF482E"/>
    <w:rsid w:val="00DF4A6A"/>
    <w:rsid w:val="00DF5419"/>
    <w:rsid w:val="00DF56F3"/>
    <w:rsid w:val="00DF5797"/>
    <w:rsid w:val="00DF5A20"/>
    <w:rsid w:val="00DF5A5A"/>
    <w:rsid w:val="00DF5B99"/>
    <w:rsid w:val="00DF5CC1"/>
    <w:rsid w:val="00DF5CDF"/>
    <w:rsid w:val="00DF5EAA"/>
    <w:rsid w:val="00DF60E1"/>
    <w:rsid w:val="00DF65B2"/>
    <w:rsid w:val="00DF6695"/>
    <w:rsid w:val="00DF7A47"/>
    <w:rsid w:val="00DF7AB1"/>
    <w:rsid w:val="00DF7CFC"/>
    <w:rsid w:val="00E00159"/>
    <w:rsid w:val="00E002B0"/>
    <w:rsid w:val="00E003D7"/>
    <w:rsid w:val="00E005F9"/>
    <w:rsid w:val="00E0062B"/>
    <w:rsid w:val="00E0084D"/>
    <w:rsid w:val="00E00B10"/>
    <w:rsid w:val="00E00D53"/>
    <w:rsid w:val="00E01043"/>
    <w:rsid w:val="00E01B46"/>
    <w:rsid w:val="00E01DF7"/>
    <w:rsid w:val="00E0204D"/>
    <w:rsid w:val="00E02307"/>
    <w:rsid w:val="00E02347"/>
    <w:rsid w:val="00E024AD"/>
    <w:rsid w:val="00E02512"/>
    <w:rsid w:val="00E0275D"/>
    <w:rsid w:val="00E0301E"/>
    <w:rsid w:val="00E03121"/>
    <w:rsid w:val="00E03246"/>
    <w:rsid w:val="00E03263"/>
    <w:rsid w:val="00E032DE"/>
    <w:rsid w:val="00E03411"/>
    <w:rsid w:val="00E03769"/>
    <w:rsid w:val="00E0381D"/>
    <w:rsid w:val="00E038B3"/>
    <w:rsid w:val="00E03BB1"/>
    <w:rsid w:val="00E03C83"/>
    <w:rsid w:val="00E03CAF"/>
    <w:rsid w:val="00E03F45"/>
    <w:rsid w:val="00E03F67"/>
    <w:rsid w:val="00E040AA"/>
    <w:rsid w:val="00E04B7D"/>
    <w:rsid w:val="00E04D46"/>
    <w:rsid w:val="00E050F4"/>
    <w:rsid w:val="00E0557C"/>
    <w:rsid w:val="00E056A8"/>
    <w:rsid w:val="00E05813"/>
    <w:rsid w:val="00E05A9A"/>
    <w:rsid w:val="00E05D9F"/>
    <w:rsid w:val="00E06252"/>
    <w:rsid w:val="00E06605"/>
    <w:rsid w:val="00E070E4"/>
    <w:rsid w:val="00E07551"/>
    <w:rsid w:val="00E077F3"/>
    <w:rsid w:val="00E07F74"/>
    <w:rsid w:val="00E07FF6"/>
    <w:rsid w:val="00E100A4"/>
    <w:rsid w:val="00E1023F"/>
    <w:rsid w:val="00E10EF3"/>
    <w:rsid w:val="00E10F02"/>
    <w:rsid w:val="00E1115F"/>
    <w:rsid w:val="00E11651"/>
    <w:rsid w:val="00E117B5"/>
    <w:rsid w:val="00E117D5"/>
    <w:rsid w:val="00E11AFC"/>
    <w:rsid w:val="00E11BFF"/>
    <w:rsid w:val="00E11CDC"/>
    <w:rsid w:val="00E11D84"/>
    <w:rsid w:val="00E11E88"/>
    <w:rsid w:val="00E11EF4"/>
    <w:rsid w:val="00E1279D"/>
    <w:rsid w:val="00E12885"/>
    <w:rsid w:val="00E12898"/>
    <w:rsid w:val="00E1293E"/>
    <w:rsid w:val="00E12947"/>
    <w:rsid w:val="00E129BD"/>
    <w:rsid w:val="00E129EF"/>
    <w:rsid w:val="00E12B1E"/>
    <w:rsid w:val="00E12B26"/>
    <w:rsid w:val="00E12D76"/>
    <w:rsid w:val="00E12E37"/>
    <w:rsid w:val="00E130B9"/>
    <w:rsid w:val="00E131F4"/>
    <w:rsid w:val="00E1369A"/>
    <w:rsid w:val="00E136A1"/>
    <w:rsid w:val="00E136A6"/>
    <w:rsid w:val="00E13726"/>
    <w:rsid w:val="00E13C40"/>
    <w:rsid w:val="00E13F95"/>
    <w:rsid w:val="00E141AA"/>
    <w:rsid w:val="00E145C4"/>
    <w:rsid w:val="00E1472E"/>
    <w:rsid w:val="00E14755"/>
    <w:rsid w:val="00E14798"/>
    <w:rsid w:val="00E14AA3"/>
    <w:rsid w:val="00E14B25"/>
    <w:rsid w:val="00E14DEE"/>
    <w:rsid w:val="00E14F00"/>
    <w:rsid w:val="00E15035"/>
    <w:rsid w:val="00E1533F"/>
    <w:rsid w:val="00E1541E"/>
    <w:rsid w:val="00E1578C"/>
    <w:rsid w:val="00E15A6D"/>
    <w:rsid w:val="00E15A8F"/>
    <w:rsid w:val="00E15B5F"/>
    <w:rsid w:val="00E15F14"/>
    <w:rsid w:val="00E161F1"/>
    <w:rsid w:val="00E1649E"/>
    <w:rsid w:val="00E164C5"/>
    <w:rsid w:val="00E168A5"/>
    <w:rsid w:val="00E16905"/>
    <w:rsid w:val="00E16A8C"/>
    <w:rsid w:val="00E16F5A"/>
    <w:rsid w:val="00E16F78"/>
    <w:rsid w:val="00E16FC8"/>
    <w:rsid w:val="00E17174"/>
    <w:rsid w:val="00E171D6"/>
    <w:rsid w:val="00E1729B"/>
    <w:rsid w:val="00E172DC"/>
    <w:rsid w:val="00E17509"/>
    <w:rsid w:val="00E17886"/>
    <w:rsid w:val="00E20357"/>
    <w:rsid w:val="00E20410"/>
    <w:rsid w:val="00E20765"/>
    <w:rsid w:val="00E20825"/>
    <w:rsid w:val="00E209A6"/>
    <w:rsid w:val="00E209FB"/>
    <w:rsid w:val="00E20C4E"/>
    <w:rsid w:val="00E20E87"/>
    <w:rsid w:val="00E20EED"/>
    <w:rsid w:val="00E210AF"/>
    <w:rsid w:val="00E210C6"/>
    <w:rsid w:val="00E218D5"/>
    <w:rsid w:val="00E21F7D"/>
    <w:rsid w:val="00E220E0"/>
    <w:rsid w:val="00E22127"/>
    <w:rsid w:val="00E2212B"/>
    <w:rsid w:val="00E2237A"/>
    <w:rsid w:val="00E227CC"/>
    <w:rsid w:val="00E22A72"/>
    <w:rsid w:val="00E22D15"/>
    <w:rsid w:val="00E22FD7"/>
    <w:rsid w:val="00E234C5"/>
    <w:rsid w:val="00E237E6"/>
    <w:rsid w:val="00E23852"/>
    <w:rsid w:val="00E23A6B"/>
    <w:rsid w:val="00E23D79"/>
    <w:rsid w:val="00E23D95"/>
    <w:rsid w:val="00E23F39"/>
    <w:rsid w:val="00E241BE"/>
    <w:rsid w:val="00E243BB"/>
    <w:rsid w:val="00E24758"/>
    <w:rsid w:val="00E24B71"/>
    <w:rsid w:val="00E24E2A"/>
    <w:rsid w:val="00E253A4"/>
    <w:rsid w:val="00E25468"/>
    <w:rsid w:val="00E256B7"/>
    <w:rsid w:val="00E259C3"/>
    <w:rsid w:val="00E25B2B"/>
    <w:rsid w:val="00E25B9E"/>
    <w:rsid w:val="00E2609D"/>
    <w:rsid w:val="00E264B4"/>
    <w:rsid w:val="00E269FE"/>
    <w:rsid w:val="00E26A08"/>
    <w:rsid w:val="00E26D7D"/>
    <w:rsid w:val="00E26DCC"/>
    <w:rsid w:val="00E2718D"/>
    <w:rsid w:val="00E27272"/>
    <w:rsid w:val="00E27624"/>
    <w:rsid w:val="00E276A8"/>
    <w:rsid w:val="00E279AC"/>
    <w:rsid w:val="00E27A03"/>
    <w:rsid w:val="00E27BD0"/>
    <w:rsid w:val="00E30105"/>
    <w:rsid w:val="00E301A2"/>
    <w:rsid w:val="00E30492"/>
    <w:rsid w:val="00E30A05"/>
    <w:rsid w:val="00E30F89"/>
    <w:rsid w:val="00E30F94"/>
    <w:rsid w:val="00E3124D"/>
    <w:rsid w:val="00E313F3"/>
    <w:rsid w:val="00E316A8"/>
    <w:rsid w:val="00E318FE"/>
    <w:rsid w:val="00E31A07"/>
    <w:rsid w:val="00E31C4F"/>
    <w:rsid w:val="00E32399"/>
    <w:rsid w:val="00E32894"/>
    <w:rsid w:val="00E329AA"/>
    <w:rsid w:val="00E32A6C"/>
    <w:rsid w:val="00E32BD6"/>
    <w:rsid w:val="00E32C27"/>
    <w:rsid w:val="00E32C43"/>
    <w:rsid w:val="00E32E0B"/>
    <w:rsid w:val="00E32F56"/>
    <w:rsid w:val="00E3329A"/>
    <w:rsid w:val="00E334F8"/>
    <w:rsid w:val="00E33AAD"/>
    <w:rsid w:val="00E33B4D"/>
    <w:rsid w:val="00E33D48"/>
    <w:rsid w:val="00E33F1B"/>
    <w:rsid w:val="00E3415A"/>
    <w:rsid w:val="00E348E3"/>
    <w:rsid w:val="00E34CD3"/>
    <w:rsid w:val="00E34CFD"/>
    <w:rsid w:val="00E34E9A"/>
    <w:rsid w:val="00E34FAC"/>
    <w:rsid w:val="00E35033"/>
    <w:rsid w:val="00E35078"/>
    <w:rsid w:val="00E3515D"/>
    <w:rsid w:val="00E35437"/>
    <w:rsid w:val="00E354E8"/>
    <w:rsid w:val="00E35931"/>
    <w:rsid w:val="00E359A4"/>
    <w:rsid w:val="00E35BB3"/>
    <w:rsid w:val="00E35FB9"/>
    <w:rsid w:val="00E36332"/>
    <w:rsid w:val="00E36943"/>
    <w:rsid w:val="00E36F17"/>
    <w:rsid w:val="00E37379"/>
    <w:rsid w:val="00E37468"/>
    <w:rsid w:val="00E377F4"/>
    <w:rsid w:val="00E379A7"/>
    <w:rsid w:val="00E37B1C"/>
    <w:rsid w:val="00E37E6D"/>
    <w:rsid w:val="00E37EFC"/>
    <w:rsid w:val="00E37F6F"/>
    <w:rsid w:val="00E401E8"/>
    <w:rsid w:val="00E40251"/>
    <w:rsid w:val="00E4035E"/>
    <w:rsid w:val="00E40782"/>
    <w:rsid w:val="00E40845"/>
    <w:rsid w:val="00E4091C"/>
    <w:rsid w:val="00E4104E"/>
    <w:rsid w:val="00E41199"/>
    <w:rsid w:val="00E414AF"/>
    <w:rsid w:val="00E415EE"/>
    <w:rsid w:val="00E41825"/>
    <w:rsid w:val="00E418E6"/>
    <w:rsid w:val="00E418E7"/>
    <w:rsid w:val="00E41CEF"/>
    <w:rsid w:val="00E42006"/>
    <w:rsid w:val="00E421BC"/>
    <w:rsid w:val="00E42202"/>
    <w:rsid w:val="00E42479"/>
    <w:rsid w:val="00E425A0"/>
    <w:rsid w:val="00E42661"/>
    <w:rsid w:val="00E426A0"/>
    <w:rsid w:val="00E426EF"/>
    <w:rsid w:val="00E42819"/>
    <w:rsid w:val="00E42B96"/>
    <w:rsid w:val="00E42E17"/>
    <w:rsid w:val="00E43173"/>
    <w:rsid w:val="00E4322F"/>
    <w:rsid w:val="00E43238"/>
    <w:rsid w:val="00E43341"/>
    <w:rsid w:val="00E435E0"/>
    <w:rsid w:val="00E437DF"/>
    <w:rsid w:val="00E43A6D"/>
    <w:rsid w:val="00E43DBD"/>
    <w:rsid w:val="00E43DDC"/>
    <w:rsid w:val="00E445BE"/>
    <w:rsid w:val="00E445CD"/>
    <w:rsid w:val="00E44629"/>
    <w:rsid w:val="00E44646"/>
    <w:rsid w:val="00E4484A"/>
    <w:rsid w:val="00E449B2"/>
    <w:rsid w:val="00E44B45"/>
    <w:rsid w:val="00E44BC9"/>
    <w:rsid w:val="00E4525D"/>
    <w:rsid w:val="00E457B4"/>
    <w:rsid w:val="00E45AB2"/>
    <w:rsid w:val="00E45B3C"/>
    <w:rsid w:val="00E45C45"/>
    <w:rsid w:val="00E45E67"/>
    <w:rsid w:val="00E4618E"/>
    <w:rsid w:val="00E46196"/>
    <w:rsid w:val="00E4628F"/>
    <w:rsid w:val="00E46B06"/>
    <w:rsid w:val="00E46D1B"/>
    <w:rsid w:val="00E46F80"/>
    <w:rsid w:val="00E474B0"/>
    <w:rsid w:val="00E47793"/>
    <w:rsid w:val="00E477E2"/>
    <w:rsid w:val="00E47976"/>
    <w:rsid w:val="00E47C81"/>
    <w:rsid w:val="00E47F6A"/>
    <w:rsid w:val="00E5016B"/>
    <w:rsid w:val="00E50386"/>
    <w:rsid w:val="00E5061D"/>
    <w:rsid w:val="00E50ABD"/>
    <w:rsid w:val="00E50D4F"/>
    <w:rsid w:val="00E50EF4"/>
    <w:rsid w:val="00E50FD3"/>
    <w:rsid w:val="00E5104A"/>
    <w:rsid w:val="00E51694"/>
    <w:rsid w:val="00E516D2"/>
    <w:rsid w:val="00E51EAB"/>
    <w:rsid w:val="00E51F3F"/>
    <w:rsid w:val="00E52084"/>
    <w:rsid w:val="00E520BE"/>
    <w:rsid w:val="00E520E6"/>
    <w:rsid w:val="00E523AD"/>
    <w:rsid w:val="00E524D6"/>
    <w:rsid w:val="00E52AEC"/>
    <w:rsid w:val="00E52B2D"/>
    <w:rsid w:val="00E52BF1"/>
    <w:rsid w:val="00E52F7A"/>
    <w:rsid w:val="00E533F1"/>
    <w:rsid w:val="00E5355A"/>
    <w:rsid w:val="00E537D8"/>
    <w:rsid w:val="00E537EF"/>
    <w:rsid w:val="00E5380E"/>
    <w:rsid w:val="00E53832"/>
    <w:rsid w:val="00E5383A"/>
    <w:rsid w:val="00E539FF"/>
    <w:rsid w:val="00E53C70"/>
    <w:rsid w:val="00E5419C"/>
    <w:rsid w:val="00E541CF"/>
    <w:rsid w:val="00E543D8"/>
    <w:rsid w:val="00E54CB6"/>
    <w:rsid w:val="00E54CFC"/>
    <w:rsid w:val="00E54E48"/>
    <w:rsid w:val="00E54F9E"/>
    <w:rsid w:val="00E555AE"/>
    <w:rsid w:val="00E557EE"/>
    <w:rsid w:val="00E55B4D"/>
    <w:rsid w:val="00E55BD4"/>
    <w:rsid w:val="00E55D80"/>
    <w:rsid w:val="00E56304"/>
    <w:rsid w:val="00E5636F"/>
    <w:rsid w:val="00E56613"/>
    <w:rsid w:val="00E5663E"/>
    <w:rsid w:val="00E56721"/>
    <w:rsid w:val="00E568F0"/>
    <w:rsid w:val="00E56931"/>
    <w:rsid w:val="00E56B4C"/>
    <w:rsid w:val="00E56C3C"/>
    <w:rsid w:val="00E56E35"/>
    <w:rsid w:val="00E56EB3"/>
    <w:rsid w:val="00E56F76"/>
    <w:rsid w:val="00E56FC2"/>
    <w:rsid w:val="00E57056"/>
    <w:rsid w:val="00E5715F"/>
    <w:rsid w:val="00E57346"/>
    <w:rsid w:val="00E5741D"/>
    <w:rsid w:val="00E574A9"/>
    <w:rsid w:val="00E575CE"/>
    <w:rsid w:val="00E57ADF"/>
    <w:rsid w:val="00E57C15"/>
    <w:rsid w:val="00E60238"/>
    <w:rsid w:val="00E603F5"/>
    <w:rsid w:val="00E607E2"/>
    <w:rsid w:val="00E60921"/>
    <w:rsid w:val="00E60C5E"/>
    <w:rsid w:val="00E60D45"/>
    <w:rsid w:val="00E60D64"/>
    <w:rsid w:val="00E611C7"/>
    <w:rsid w:val="00E612CF"/>
    <w:rsid w:val="00E61422"/>
    <w:rsid w:val="00E6146D"/>
    <w:rsid w:val="00E61D6D"/>
    <w:rsid w:val="00E61DA7"/>
    <w:rsid w:val="00E61E67"/>
    <w:rsid w:val="00E61EEC"/>
    <w:rsid w:val="00E61F70"/>
    <w:rsid w:val="00E622A5"/>
    <w:rsid w:val="00E62875"/>
    <w:rsid w:val="00E62E59"/>
    <w:rsid w:val="00E62F59"/>
    <w:rsid w:val="00E63253"/>
    <w:rsid w:val="00E6345A"/>
    <w:rsid w:val="00E634E9"/>
    <w:rsid w:val="00E6352C"/>
    <w:rsid w:val="00E63767"/>
    <w:rsid w:val="00E638B7"/>
    <w:rsid w:val="00E63B32"/>
    <w:rsid w:val="00E63DF4"/>
    <w:rsid w:val="00E64363"/>
    <w:rsid w:val="00E645F0"/>
    <w:rsid w:val="00E64788"/>
    <w:rsid w:val="00E64E7A"/>
    <w:rsid w:val="00E65444"/>
    <w:rsid w:val="00E6594D"/>
    <w:rsid w:val="00E65A17"/>
    <w:rsid w:val="00E65D38"/>
    <w:rsid w:val="00E666D0"/>
    <w:rsid w:val="00E6696A"/>
    <w:rsid w:val="00E66A3C"/>
    <w:rsid w:val="00E66B1B"/>
    <w:rsid w:val="00E66B8F"/>
    <w:rsid w:val="00E66C7B"/>
    <w:rsid w:val="00E66CEA"/>
    <w:rsid w:val="00E66D37"/>
    <w:rsid w:val="00E66E74"/>
    <w:rsid w:val="00E66E88"/>
    <w:rsid w:val="00E6708E"/>
    <w:rsid w:val="00E670AB"/>
    <w:rsid w:val="00E670FA"/>
    <w:rsid w:val="00E671C4"/>
    <w:rsid w:val="00E67CFA"/>
    <w:rsid w:val="00E67F5F"/>
    <w:rsid w:val="00E67FF0"/>
    <w:rsid w:val="00E7014E"/>
    <w:rsid w:val="00E70410"/>
    <w:rsid w:val="00E704C2"/>
    <w:rsid w:val="00E708E1"/>
    <w:rsid w:val="00E7095F"/>
    <w:rsid w:val="00E70AA4"/>
    <w:rsid w:val="00E70F2B"/>
    <w:rsid w:val="00E7133E"/>
    <w:rsid w:val="00E71553"/>
    <w:rsid w:val="00E716FE"/>
    <w:rsid w:val="00E717BC"/>
    <w:rsid w:val="00E72094"/>
    <w:rsid w:val="00E720B7"/>
    <w:rsid w:val="00E7223E"/>
    <w:rsid w:val="00E7242B"/>
    <w:rsid w:val="00E7268A"/>
    <w:rsid w:val="00E72864"/>
    <w:rsid w:val="00E72BBD"/>
    <w:rsid w:val="00E72CB7"/>
    <w:rsid w:val="00E72E26"/>
    <w:rsid w:val="00E73019"/>
    <w:rsid w:val="00E730DD"/>
    <w:rsid w:val="00E73621"/>
    <w:rsid w:val="00E73833"/>
    <w:rsid w:val="00E73B07"/>
    <w:rsid w:val="00E740D3"/>
    <w:rsid w:val="00E7458C"/>
    <w:rsid w:val="00E747A4"/>
    <w:rsid w:val="00E747E5"/>
    <w:rsid w:val="00E749EF"/>
    <w:rsid w:val="00E74CA6"/>
    <w:rsid w:val="00E74CD9"/>
    <w:rsid w:val="00E74D4F"/>
    <w:rsid w:val="00E74D7D"/>
    <w:rsid w:val="00E752D6"/>
    <w:rsid w:val="00E7532C"/>
    <w:rsid w:val="00E7599C"/>
    <w:rsid w:val="00E75AA3"/>
    <w:rsid w:val="00E75CE3"/>
    <w:rsid w:val="00E76278"/>
    <w:rsid w:val="00E7633F"/>
    <w:rsid w:val="00E765A2"/>
    <w:rsid w:val="00E766B1"/>
    <w:rsid w:val="00E76901"/>
    <w:rsid w:val="00E76AEA"/>
    <w:rsid w:val="00E76C61"/>
    <w:rsid w:val="00E77202"/>
    <w:rsid w:val="00E7728B"/>
    <w:rsid w:val="00E772F4"/>
    <w:rsid w:val="00E7733D"/>
    <w:rsid w:val="00E77934"/>
    <w:rsid w:val="00E77C62"/>
    <w:rsid w:val="00E77C89"/>
    <w:rsid w:val="00E77E3C"/>
    <w:rsid w:val="00E77FE7"/>
    <w:rsid w:val="00E80084"/>
    <w:rsid w:val="00E80165"/>
    <w:rsid w:val="00E8021B"/>
    <w:rsid w:val="00E802D9"/>
    <w:rsid w:val="00E8071D"/>
    <w:rsid w:val="00E80A2C"/>
    <w:rsid w:val="00E80BBA"/>
    <w:rsid w:val="00E80C3E"/>
    <w:rsid w:val="00E80C96"/>
    <w:rsid w:val="00E8107F"/>
    <w:rsid w:val="00E812A5"/>
    <w:rsid w:val="00E812C2"/>
    <w:rsid w:val="00E813EA"/>
    <w:rsid w:val="00E815D4"/>
    <w:rsid w:val="00E818BB"/>
    <w:rsid w:val="00E81D0A"/>
    <w:rsid w:val="00E81D63"/>
    <w:rsid w:val="00E81FC8"/>
    <w:rsid w:val="00E82202"/>
    <w:rsid w:val="00E82354"/>
    <w:rsid w:val="00E8246B"/>
    <w:rsid w:val="00E826A3"/>
    <w:rsid w:val="00E826E9"/>
    <w:rsid w:val="00E8270F"/>
    <w:rsid w:val="00E82A28"/>
    <w:rsid w:val="00E82AC9"/>
    <w:rsid w:val="00E82AFF"/>
    <w:rsid w:val="00E831A4"/>
    <w:rsid w:val="00E836F6"/>
    <w:rsid w:val="00E83896"/>
    <w:rsid w:val="00E83D75"/>
    <w:rsid w:val="00E83E30"/>
    <w:rsid w:val="00E83EE7"/>
    <w:rsid w:val="00E83FDD"/>
    <w:rsid w:val="00E84124"/>
    <w:rsid w:val="00E8414C"/>
    <w:rsid w:val="00E84184"/>
    <w:rsid w:val="00E8438A"/>
    <w:rsid w:val="00E84C02"/>
    <w:rsid w:val="00E84F40"/>
    <w:rsid w:val="00E85384"/>
    <w:rsid w:val="00E85543"/>
    <w:rsid w:val="00E855A7"/>
    <w:rsid w:val="00E85691"/>
    <w:rsid w:val="00E85A9C"/>
    <w:rsid w:val="00E85C0A"/>
    <w:rsid w:val="00E85E9D"/>
    <w:rsid w:val="00E86179"/>
    <w:rsid w:val="00E868B2"/>
    <w:rsid w:val="00E86939"/>
    <w:rsid w:val="00E86A48"/>
    <w:rsid w:val="00E8746B"/>
    <w:rsid w:val="00E8762C"/>
    <w:rsid w:val="00E87821"/>
    <w:rsid w:val="00E87895"/>
    <w:rsid w:val="00E878A9"/>
    <w:rsid w:val="00E879CA"/>
    <w:rsid w:val="00E87D83"/>
    <w:rsid w:val="00E87F39"/>
    <w:rsid w:val="00E90398"/>
    <w:rsid w:val="00E9045E"/>
    <w:rsid w:val="00E904DD"/>
    <w:rsid w:val="00E90842"/>
    <w:rsid w:val="00E90871"/>
    <w:rsid w:val="00E90944"/>
    <w:rsid w:val="00E90959"/>
    <w:rsid w:val="00E909A4"/>
    <w:rsid w:val="00E90A84"/>
    <w:rsid w:val="00E90B0C"/>
    <w:rsid w:val="00E90DC7"/>
    <w:rsid w:val="00E9104D"/>
    <w:rsid w:val="00E91173"/>
    <w:rsid w:val="00E913BA"/>
    <w:rsid w:val="00E91441"/>
    <w:rsid w:val="00E9168B"/>
    <w:rsid w:val="00E918E2"/>
    <w:rsid w:val="00E91A61"/>
    <w:rsid w:val="00E91B9A"/>
    <w:rsid w:val="00E92212"/>
    <w:rsid w:val="00E922DF"/>
    <w:rsid w:val="00E92450"/>
    <w:rsid w:val="00E9279F"/>
    <w:rsid w:val="00E92BBA"/>
    <w:rsid w:val="00E92C2C"/>
    <w:rsid w:val="00E92E4B"/>
    <w:rsid w:val="00E9319E"/>
    <w:rsid w:val="00E93478"/>
    <w:rsid w:val="00E93556"/>
    <w:rsid w:val="00E93596"/>
    <w:rsid w:val="00E935EB"/>
    <w:rsid w:val="00E936BC"/>
    <w:rsid w:val="00E93A3B"/>
    <w:rsid w:val="00E93B48"/>
    <w:rsid w:val="00E93B51"/>
    <w:rsid w:val="00E93ED1"/>
    <w:rsid w:val="00E940F6"/>
    <w:rsid w:val="00E9413C"/>
    <w:rsid w:val="00E94525"/>
    <w:rsid w:val="00E948A5"/>
    <w:rsid w:val="00E94A6A"/>
    <w:rsid w:val="00E94BA5"/>
    <w:rsid w:val="00E94BDA"/>
    <w:rsid w:val="00E94C5F"/>
    <w:rsid w:val="00E94CDB"/>
    <w:rsid w:val="00E95018"/>
    <w:rsid w:val="00E95021"/>
    <w:rsid w:val="00E95121"/>
    <w:rsid w:val="00E95AD6"/>
    <w:rsid w:val="00E960DA"/>
    <w:rsid w:val="00E96855"/>
    <w:rsid w:val="00E969DE"/>
    <w:rsid w:val="00E97532"/>
    <w:rsid w:val="00E978BB"/>
    <w:rsid w:val="00E97E4B"/>
    <w:rsid w:val="00EA0033"/>
    <w:rsid w:val="00EA00CD"/>
    <w:rsid w:val="00EA053F"/>
    <w:rsid w:val="00EA0558"/>
    <w:rsid w:val="00EA0D11"/>
    <w:rsid w:val="00EA0F17"/>
    <w:rsid w:val="00EA1053"/>
    <w:rsid w:val="00EA12D3"/>
    <w:rsid w:val="00EA15FF"/>
    <w:rsid w:val="00EA1606"/>
    <w:rsid w:val="00EA16E0"/>
    <w:rsid w:val="00EA1852"/>
    <w:rsid w:val="00EA1B0B"/>
    <w:rsid w:val="00EA21E6"/>
    <w:rsid w:val="00EA2276"/>
    <w:rsid w:val="00EA256E"/>
    <w:rsid w:val="00EA271F"/>
    <w:rsid w:val="00EA2943"/>
    <w:rsid w:val="00EA2B67"/>
    <w:rsid w:val="00EA2C73"/>
    <w:rsid w:val="00EA2E8C"/>
    <w:rsid w:val="00EA3393"/>
    <w:rsid w:val="00EA34FF"/>
    <w:rsid w:val="00EA3A1F"/>
    <w:rsid w:val="00EA3B52"/>
    <w:rsid w:val="00EA3E0A"/>
    <w:rsid w:val="00EA3E2E"/>
    <w:rsid w:val="00EA3F03"/>
    <w:rsid w:val="00EA419E"/>
    <w:rsid w:val="00EA45EB"/>
    <w:rsid w:val="00EA46A2"/>
    <w:rsid w:val="00EA492D"/>
    <w:rsid w:val="00EA4D12"/>
    <w:rsid w:val="00EA4EAE"/>
    <w:rsid w:val="00EA4F9A"/>
    <w:rsid w:val="00EA5267"/>
    <w:rsid w:val="00EA532F"/>
    <w:rsid w:val="00EA553F"/>
    <w:rsid w:val="00EA583F"/>
    <w:rsid w:val="00EA60BF"/>
    <w:rsid w:val="00EA615B"/>
    <w:rsid w:val="00EA62AD"/>
    <w:rsid w:val="00EA6315"/>
    <w:rsid w:val="00EA638C"/>
    <w:rsid w:val="00EA658D"/>
    <w:rsid w:val="00EA65C5"/>
    <w:rsid w:val="00EA6B86"/>
    <w:rsid w:val="00EA7105"/>
    <w:rsid w:val="00EA7209"/>
    <w:rsid w:val="00EA724D"/>
    <w:rsid w:val="00EA781C"/>
    <w:rsid w:val="00EA7965"/>
    <w:rsid w:val="00EA7AC3"/>
    <w:rsid w:val="00EA7B0D"/>
    <w:rsid w:val="00EA7F6A"/>
    <w:rsid w:val="00EB0091"/>
    <w:rsid w:val="00EB0109"/>
    <w:rsid w:val="00EB08AF"/>
    <w:rsid w:val="00EB0A86"/>
    <w:rsid w:val="00EB0C76"/>
    <w:rsid w:val="00EB0FDD"/>
    <w:rsid w:val="00EB10D2"/>
    <w:rsid w:val="00EB13AC"/>
    <w:rsid w:val="00EB14AC"/>
    <w:rsid w:val="00EB16AA"/>
    <w:rsid w:val="00EB16D0"/>
    <w:rsid w:val="00EB1BF0"/>
    <w:rsid w:val="00EB1D48"/>
    <w:rsid w:val="00EB252E"/>
    <w:rsid w:val="00EB25DB"/>
    <w:rsid w:val="00EB29A7"/>
    <w:rsid w:val="00EB2F4F"/>
    <w:rsid w:val="00EB326D"/>
    <w:rsid w:val="00EB330A"/>
    <w:rsid w:val="00EB3357"/>
    <w:rsid w:val="00EB33B8"/>
    <w:rsid w:val="00EB383E"/>
    <w:rsid w:val="00EB3871"/>
    <w:rsid w:val="00EB3949"/>
    <w:rsid w:val="00EB3B39"/>
    <w:rsid w:val="00EB3BEC"/>
    <w:rsid w:val="00EB3C39"/>
    <w:rsid w:val="00EB3CA5"/>
    <w:rsid w:val="00EB3CC0"/>
    <w:rsid w:val="00EB44FC"/>
    <w:rsid w:val="00EB462D"/>
    <w:rsid w:val="00EB4740"/>
    <w:rsid w:val="00EB48CD"/>
    <w:rsid w:val="00EB4C76"/>
    <w:rsid w:val="00EB51BD"/>
    <w:rsid w:val="00EB593B"/>
    <w:rsid w:val="00EB5986"/>
    <w:rsid w:val="00EB5A7C"/>
    <w:rsid w:val="00EB5FB9"/>
    <w:rsid w:val="00EB60EB"/>
    <w:rsid w:val="00EB6548"/>
    <w:rsid w:val="00EB65AD"/>
    <w:rsid w:val="00EB6782"/>
    <w:rsid w:val="00EB68DA"/>
    <w:rsid w:val="00EB6926"/>
    <w:rsid w:val="00EB6963"/>
    <w:rsid w:val="00EB6BC1"/>
    <w:rsid w:val="00EB6D02"/>
    <w:rsid w:val="00EB6EA2"/>
    <w:rsid w:val="00EB7021"/>
    <w:rsid w:val="00EB71D3"/>
    <w:rsid w:val="00EB73E9"/>
    <w:rsid w:val="00EB74CB"/>
    <w:rsid w:val="00EB7782"/>
    <w:rsid w:val="00EB7BAE"/>
    <w:rsid w:val="00EB7D14"/>
    <w:rsid w:val="00EB7EDF"/>
    <w:rsid w:val="00EC0010"/>
    <w:rsid w:val="00EC00EA"/>
    <w:rsid w:val="00EC015D"/>
    <w:rsid w:val="00EC0343"/>
    <w:rsid w:val="00EC06DB"/>
    <w:rsid w:val="00EC07BB"/>
    <w:rsid w:val="00EC080C"/>
    <w:rsid w:val="00EC0F57"/>
    <w:rsid w:val="00EC1093"/>
    <w:rsid w:val="00EC1402"/>
    <w:rsid w:val="00EC17AC"/>
    <w:rsid w:val="00EC181D"/>
    <w:rsid w:val="00EC1918"/>
    <w:rsid w:val="00EC1F3A"/>
    <w:rsid w:val="00EC220B"/>
    <w:rsid w:val="00EC2432"/>
    <w:rsid w:val="00EC2543"/>
    <w:rsid w:val="00EC285E"/>
    <w:rsid w:val="00EC2959"/>
    <w:rsid w:val="00EC2BAC"/>
    <w:rsid w:val="00EC3410"/>
    <w:rsid w:val="00EC3627"/>
    <w:rsid w:val="00EC3D02"/>
    <w:rsid w:val="00EC4199"/>
    <w:rsid w:val="00EC43B9"/>
    <w:rsid w:val="00EC466B"/>
    <w:rsid w:val="00EC46B4"/>
    <w:rsid w:val="00EC46E0"/>
    <w:rsid w:val="00EC4828"/>
    <w:rsid w:val="00EC4AC2"/>
    <w:rsid w:val="00EC52D9"/>
    <w:rsid w:val="00EC5345"/>
    <w:rsid w:val="00EC54A7"/>
    <w:rsid w:val="00EC57B5"/>
    <w:rsid w:val="00EC58B1"/>
    <w:rsid w:val="00EC5961"/>
    <w:rsid w:val="00EC59CC"/>
    <w:rsid w:val="00EC59F4"/>
    <w:rsid w:val="00EC60C9"/>
    <w:rsid w:val="00EC627D"/>
    <w:rsid w:val="00EC63DF"/>
    <w:rsid w:val="00EC644F"/>
    <w:rsid w:val="00EC654A"/>
    <w:rsid w:val="00EC6A1D"/>
    <w:rsid w:val="00EC6B2E"/>
    <w:rsid w:val="00EC6E3A"/>
    <w:rsid w:val="00EC7200"/>
    <w:rsid w:val="00EC728A"/>
    <w:rsid w:val="00EC734F"/>
    <w:rsid w:val="00EC73E5"/>
    <w:rsid w:val="00EC790B"/>
    <w:rsid w:val="00EC7F85"/>
    <w:rsid w:val="00ED005F"/>
    <w:rsid w:val="00ED01DA"/>
    <w:rsid w:val="00ED021D"/>
    <w:rsid w:val="00ED02C3"/>
    <w:rsid w:val="00ED0737"/>
    <w:rsid w:val="00ED0903"/>
    <w:rsid w:val="00ED0AFF"/>
    <w:rsid w:val="00ED10FE"/>
    <w:rsid w:val="00ED1160"/>
    <w:rsid w:val="00ED1488"/>
    <w:rsid w:val="00ED15C2"/>
    <w:rsid w:val="00ED1A16"/>
    <w:rsid w:val="00ED1A51"/>
    <w:rsid w:val="00ED1E7E"/>
    <w:rsid w:val="00ED1EF7"/>
    <w:rsid w:val="00ED25BB"/>
    <w:rsid w:val="00ED2791"/>
    <w:rsid w:val="00ED27C5"/>
    <w:rsid w:val="00ED2AA1"/>
    <w:rsid w:val="00ED2D06"/>
    <w:rsid w:val="00ED32BC"/>
    <w:rsid w:val="00ED3347"/>
    <w:rsid w:val="00ED3409"/>
    <w:rsid w:val="00ED3696"/>
    <w:rsid w:val="00ED36D5"/>
    <w:rsid w:val="00ED37F0"/>
    <w:rsid w:val="00ED3B5C"/>
    <w:rsid w:val="00ED3D99"/>
    <w:rsid w:val="00ED4006"/>
    <w:rsid w:val="00ED4076"/>
    <w:rsid w:val="00ED4262"/>
    <w:rsid w:val="00ED4851"/>
    <w:rsid w:val="00ED4AB9"/>
    <w:rsid w:val="00ED4BAB"/>
    <w:rsid w:val="00ED4BB7"/>
    <w:rsid w:val="00ED4CF9"/>
    <w:rsid w:val="00ED4DAA"/>
    <w:rsid w:val="00ED518D"/>
    <w:rsid w:val="00ED51D7"/>
    <w:rsid w:val="00ED5289"/>
    <w:rsid w:val="00ED5326"/>
    <w:rsid w:val="00ED5A68"/>
    <w:rsid w:val="00ED5A77"/>
    <w:rsid w:val="00ED5D2D"/>
    <w:rsid w:val="00ED5D8B"/>
    <w:rsid w:val="00ED6032"/>
    <w:rsid w:val="00ED620C"/>
    <w:rsid w:val="00ED6331"/>
    <w:rsid w:val="00ED67B0"/>
    <w:rsid w:val="00ED67C4"/>
    <w:rsid w:val="00ED69B8"/>
    <w:rsid w:val="00ED7091"/>
    <w:rsid w:val="00ED7467"/>
    <w:rsid w:val="00ED7500"/>
    <w:rsid w:val="00ED7507"/>
    <w:rsid w:val="00ED7BDD"/>
    <w:rsid w:val="00ED7BF4"/>
    <w:rsid w:val="00ED7F5F"/>
    <w:rsid w:val="00ED7F8C"/>
    <w:rsid w:val="00EE06B9"/>
    <w:rsid w:val="00EE089D"/>
    <w:rsid w:val="00EE0A28"/>
    <w:rsid w:val="00EE0DCF"/>
    <w:rsid w:val="00EE1402"/>
    <w:rsid w:val="00EE1C90"/>
    <w:rsid w:val="00EE1D57"/>
    <w:rsid w:val="00EE1E94"/>
    <w:rsid w:val="00EE20A9"/>
    <w:rsid w:val="00EE22F9"/>
    <w:rsid w:val="00EE247F"/>
    <w:rsid w:val="00EE288D"/>
    <w:rsid w:val="00EE29FA"/>
    <w:rsid w:val="00EE3061"/>
    <w:rsid w:val="00EE3227"/>
    <w:rsid w:val="00EE333A"/>
    <w:rsid w:val="00EE35C2"/>
    <w:rsid w:val="00EE3645"/>
    <w:rsid w:val="00EE3A7D"/>
    <w:rsid w:val="00EE3BC4"/>
    <w:rsid w:val="00EE3FC4"/>
    <w:rsid w:val="00EE41DF"/>
    <w:rsid w:val="00EE4415"/>
    <w:rsid w:val="00EE44E9"/>
    <w:rsid w:val="00EE464F"/>
    <w:rsid w:val="00EE46E3"/>
    <w:rsid w:val="00EE4813"/>
    <w:rsid w:val="00EE4D35"/>
    <w:rsid w:val="00EE52E1"/>
    <w:rsid w:val="00EE5365"/>
    <w:rsid w:val="00EE5496"/>
    <w:rsid w:val="00EE566F"/>
    <w:rsid w:val="00EE5814"/>
    <w:rsid w:val="00EE58AE"/>
    <w:rsid w:val="00EE5AF9"/>
    <w:rsid w:val="00EE6362"/>
    <w:rsid w:val="00EE63CB"/>
    <w:rsid w:val="00EE645D"/>
    <w:rsid w:val="00EE6561"/>
    <w:rsid w:val="00EE6601"/>
    <w:rsid w:val="00EE683A"/>
    <w:rsid w:val="00EE6ABA"/>
    <w:rsid w:val="00EE6E08"/>
    <w:rsid w:val="00EE70C4"/>
    <w:rsid w:val="00EE71FA"/>
    <w:rsid w:val="00EE72B2"/>
    <w:rsid w:val="00EE740F"/>
    <w:rsid w:val="00EE76C6"/>
    <w:rsid w:val="00EE77CF"/>
    <w:rsid w:val="00EE7819"/>
    <w:rsid w:val="00EE7BDD"/>
    <w:rsid w:val="00EE7D6B"/>
    <w:rsid w:val="00EE7E0F"/>
    <w:rsid w:val="00EF0090"/>
    <w:rsid w:val="00EF091F"/>
    <w:rsid w:val="00EF102C"/>
    <w:rsid w:val="00EF13BE"/>
    <w:rsid w:val="00EF18E9"/>
    <w:rsid w:val="00EF22D9"/>
    <w:rsid w:val="00EF23D6"/>
    <w:rsid w:val="00EF2416"/>
    <w:rsid w:val="00EF29CA"/>
    <w:rsid w:val="00EF2BCF"/>
    <w:rsid w:val="00EF3155"/>
    <w:rsid w:val="00EF3236"/>
    <w:rsid w:val="00EF355B"/>
    <w:rsid w:val="00EF366C"/>
    <w:rsid w:val="00EF39ED"/>
    <w:rsid w:val="00EF3B85"/>
    <w:rsid w:val="00EF3E70"/>
    <w:rsid w:val="00EF3F05"/>
    <w:rsid w:val="00EF42F0"/>
    <w:rsid w:val="00EF43C7"/>
    <w:rsid w:val="00EF4478"/>
    <w:rsid w:val="00EF44D3"/>
    <w:rsid w:val="00EF4587"/>
    <w:rsid w:val="00EF4616"/>
    <w:rsid w:val="00EF470F"/>
    <w:rsid w:val="00EF471E"/>
    <w:rsid w:val="00EF48C9"/>
    <w:rsid w:val="00EF4B70"/>
    <w:rsid w:val="00EF4FA8"/>
    <w:rsid w:val="00EF5679"/>
    <w:rsid w:val="00EF575C"/>
    <w:rsid w:val="00EF5C3E"/>
    <w:rsid w:val="00EF5F58"/>
    <w:rsid w:val="00EF6253"/>
    <w:rsid w:val="00EF6473"/>
    <w:rsid w:val="00EF6571"/>
    <w:rsid w:val="00EF66A5"/>
    <w:rsid w:val="00EF66DC"/>
    <w:rsid w:val="00EF692D"/>
    <w:rsid w:val="00EF69B3"/>
    <w:rsid w:val="00EF6B4C"/>
    <w:rsid w:val="00EF6C72"/>
    <w:rsid w:val="00EF6CED"/>
    <w:rsid w:val="00EF6FF1"/>
    <w:rsid w:val="00EF706E"/>
    <w:rsid w:val="00EF767D"/>
    <w:rsid w:val="00EF777F"/>
    <w:rsid w:val="00EF7925"/>
    <w:rsid w:val="00EF7A91"/>
    <w:rsid w:val="00EF7E96"/>
    <w:rsid w:val="00F0048C"/>
    <w:rsid w:val="00F0073E"/>
    <w:rsid w:val="00F00837"/>
    <w:rsid w:val="00F008D0"/>
    <w:rsid w:val="00F00B4D"/>
    <w:rsid w:val="00F00C72"/>
    <w:rsid w:val="00F00D78"/>
    <w:rsid w:val="00F00FF9"/>
    <w:rsid w:val="00F011FF"/>
    <w:rsid w:val="00F014A5"/>
    <w:rsid w:val="00F01500"/>
    <w:rsid w:val="00F01510"/>
    <w:rsid w:val="00F016C4"/>
    <w:rsid w:val="00F01B3B"/>
    <w:rsid w:val="00F01C01"/>
    <w:rsid w:val="00F01EBD"/>
    <w:rsid w:val="00F022C1"/>
    <w:rsid w:val="00F02325"/>
    <w:rsid w:val="00F02E7F"/>
    <w:rsid w:val="00F03A3A"/>
    <w:rsid w:val="00F03C0C"/>
    <w:rsid w:val="00F03C22"/>
    <w:rsid w:val="00F03DBA"/>
    <w:rsid w:val="00F041D3"/>
    <w:rsid w:val="00F0433B"/>
    <w:rsid w:val="00F044B4"/>
    <w:rsid w:val="00F0456E"/>
    <w:rsid w:val="00F0459D"/>
    <w:rsid w:val="00F0477E"/>
    <w:rsid w:val="00F04B2F"/>
    <w:rsid w:val="00F04D15"/>
    <w:rsid w:val="00F05046"/>
    <w:rsid w:val="00F05086"/>
    <w:rsid w:val="00F050C9"/>
    <w:rsid w:val="00F05713"/>
    <w:rsid w:val="00F05D44"/>
    <w:rsid w:val="00F060C3"/>
    <w:rsid w:val="00F06145"/>
    <w:rsid w:val="00F064BB"/>
    <w:rsid w:val="00F06943"/>
    <w:rsid w:val="00F06FAF"/>
    <w:rsid w:val="00F07118"/>
    <w:rsid w:val="00F074C0"/>
    <w:rsid w:val="00F07608"/>
    <w:rsid w:val="00F07860"/>
    <w:rsid w:val="00F10178"/>
    <w:rsid w:val="00F1044E"/>
    <w:rsid w:val="00F10474"/>
    <w:rsid w:val="00F104DA"/>
    <w:rsid w:val="00F105D3"/>
    <w:rsid w:val="00F10E44"/>
    <w:rsid w:val="00F11017"/>
    <w:rsid w:val="00F1142F"/>
    <w:rsid w:val="00F114C4"/>
    <w:rsid w:val="00F116B0"/>
    <w:rsid w:val="00F11805"/>
    <w:rsid w:val="00F119EB"/>
    <w:rsid w:val="00F11A5E"/>
    <w:rsid w:val="00F120BE"/>
    <w:rsid w:val="00F121A2"/>
    <w:rsid w:val="00F126DC"/>
    <w:rsid w:val="00F12B99"/>
    <w:rsid w:val="00F1301D"/>
    <w:rsid w:val="00F1343A"/>
    <w:rsid w:val="00F13B88"/>
    <w:rsid w:val="00F13BA3"/>
    <w:rsid w:val="00F13E2C"/>
    <w:rsid w:val="00F14389"/>
    <w:rsid w:val="00F145AE"/>
    <w:rsid w:val="00F1486D"/>
    <w:rsid w:val="00F149DC"/>
    <w:rsid w:val="00F15082"/>
    <w:rsid w:val="00F150E7"/>
    <w:rsid w:val="00F1528C"/>
    <w:rsid w:val="00F157DA"/>
    <w:rsid w:val="00F15942"/>
    <w:rsid w:val="00F15A15"/>
    <w:rsid w:val="00F15A59"/>
    <w:rsid w:val="00F15A91"/>
    <w:rsid w:val="00F15FA6"/>
    <w:rsid w:val="00F16179"/>
    <w:rsid w:val="00F16593"/>
    <w:rsid w:val="00F1663A"/>
    <w:rsid w:val="00F16663"/>
    <w:rsid w:val="00F168B8"/>
    <w:rsid w:val="00F16C0B"/>
    <w:rsid w:val="00F17084"/>
    <w:rsid w:val="00F170AB"/>
    <w:rsid w:val="00F174F8"/>
    <w:rsid w:val="00F1783A"/>
    <w:rsid w:val="00F17A77"/>
    <w:rsid w:val="00F17BE7"/>
    <w:rsid w:val="00F17DC2"/>
    <w:rsid w:val="00F17F74"/>
    <w:rsid w:val="00F17F9C"/>
    <w:rsid w:val="00F20071"/>
    <w:rsid w:val="00F2045F"/>
    <w:rsid w:val="00F20719"/>
    <w:rsid w:val="00F20875"/>
    <w:rsid w:val="00F20C37"/>
    <w:rsid w:val="00F20D8E"/>
    <w:rsid w:val="00F2146A"/>
    <w:rsid w:val="00F2196D"/>
    <w:rsid w:val="00F21B01"/>
    <w:rsid w:val="00F21B26"/>
    <w:rsid w:val="00F21C8B"/>
    <w:rsid w:val="00F21CA2"/>
    <w:rsid w:val="00F220E0"/>
    <w:rsid w:val="00F223B3"/>
    <w:rsid w:val="00F2285D"/>
    <w:rsid w:val="00F22C1F"/>
    <w:rsid w:val="00F23347"/>
    <w:rsid w:val="00F233D1"/>
    <w:rsid w:val="00F234F5"/>
    <w:rsid w:val="00F23516"/>
    <w:rsid w:val="00F23519"/>
    <w:rsid w:val="00F23AB0"/>
    <w:rsid w:val="00F23AE7"/>
    <w:rsid w:val="00F2417B"/>
    <w:rsid w:val="00F24737"/>
    <w:rsid w:val="00F248AE"/>
    <w:rsid w:val="00F249BA"/>
    <w:rsid w:val="00F24B79"/>
    <w:rsid w:val="00F25141"/>
    <w:rsid w:val="00F2516E"/>
    <w:rsid w:val="00F25A64"/>
    <w:rsid w:val="00F25A72"/>
    <w:rsid w:val="00F25A9F"/>
    <w:rsid w:val="00F25CCD"/>
    <w:rsid w:val="00F25D59"/>
    <w:rsid w:val="00F25D60"/>
    <w:rsid w:val="00F25EE7"/>
    <w:rsid w:val="00F261C4"/>
    <w:rsid w:val="00F26201"/>
    <w:rsid w:val="00F2623B"/>
    <w:rsid w:val="00F26304"/>
    <w:rsid w:val="00F26584"/>
    <w:rsid w:val="00F26AD6"/>
    <w:rsid w:val="00F26F10"/>
    <w:rsid w:val="00F26F93"/>
    <w:rsid w:val="00F27552"/>
    <w:rsid w:val="00F27875"/>
    <w:rsid w:val="00F2787A"/>
    <w:rsid w:val="00F278B8"/>
    <w:rsid w:val="00F27CDF"/>
    <w:rsid w:val="00F30131"/>
    <w:rsid w:val="00F30482"/>
    <w:rsid w:val="00F308B4"/>
    <w:rsid w:val="00F3094F"/>
    <w:rsid w:val="00F309E6"/>
    <w:rsid w:val="00F30A5A"/>
    <w:rsid w:val="00F30D78"/>
    <w:rsid w:val="00F31083"/>
    <w:rsid w:val="00F31591"/>
    <w:rsid w:val="00F316B6"/>
    <w:rsid w:val="00F319BC"/>
    <w:rsid w:val="00F31A9F"/>
    <w:rsid w:val="00F31CA4"/>
    <w:rsid w:val="00F31D6B"/>
    <w:rsid w:val="00F31E1B"/>
    <w:rsid w:val="00F31EC4"/>
    <w:rsid w:val="00F3246D"/>
    <w:rsid w:val="00F326A0"/>
    <w:rsid w:val="00F328BB"/>
    <w:rsid w:val="00F32A98"/>
    <w:rsid w:val="00F32CFF"/>
    <w:rsid w:val="00F32F99"/>
    <w:rsid w:val="00F33144"/>
    <w:rsid w:val="00F3318C"/>
    <w:rsid w:val="00F3321E"/>
    <w:rsid w:val="00F33477"/>
    <w:rsid w:val="00F33CBD"/>
    <w:rsid w:val="00F34F09"/>
    <w:rsid w:val="00F35089"/>
    <w:rsid w:val="00F353FE"/>
    <w:rsid w:val="00F35903"/>
    <w:rsid w:val="00F35A11"/>
    <w:rsid w:val="00F35CE3"/>
    <w:rsid w:val="00F35CE5"/>
    <w:rsid w:val="00F36052"/>
    <w:rsid w:val="00F3649B"/>
    <w:rsid w:val="00F36755"/>
    <w:rsid w:val="00F368B0"/>
    <w:rsid w:val="00F36971"/>
    <w:rsid w:val="00F36E47"/>
    <w:rsid w:val="00F371AF"/>
    <w:rsid w:val="00F371E6"/>
    <w:rsid w:val="00F37213"/>
    <w:rsid w:val="00F3774D"/>
    <w:rsid w:val="00F3778E"/>
    <w:rsid w:val="00F37A15"/>
    <w:rsid w:val="00F40135"/>
    <w:rsid w:val="00F4026F"/>
    <w:rsid w:val="00F4027D"/>
    <w:rsid w:val="00F406B6"/>
    <w:rsid w:val="00F407B4"/>
    <w:rsid w:val="00F40A56"/>
    <w:rsid w:val="00F411EB"/>
    <w:rsid w:val="00F411F9"/>
    <w:rsid w:val="00F41363"/>
    <w:rsid w:val="00F413A6"/>
    <w:rsid w:val="00F4194B"/>
    <w:rsid w:val="00F41A8F"/>
    <w:rsid w:val="00F41DF4"/>
    <w:rsid w:val="00F41EB2"/>
    <w:rsid w:val="00F42016"/>
    <w:rsid w:val="00F421B4"/>
    <w:rsid w:val="00F422E5"/>
    <w:rsid w:val="00F425D0"/>
    <w:rsid w:val="00F4276A"/>
    <w:rsid w:val="00F428B8"/>
    <w:rsid w:val="00F42A26"/>
    <w:rsid w:val="00F42AD8"/>
    <w:rsid w:val="00F42B89"/>
    <w:rsid w:val="00F42D7B"/>
    <w:rsid w:val="00F42D7F"/>
    <w:rsid w:val="00F43080"/>
    <w:rsid w:val="00F43129"/>
    <w:rsid w:val="00F43510"/>
    <w:rsid w:val="00F4359C"/>
    <w:rsid w:val="00F43D23"/>
    <w:rsid w:val="00F44170"/>
    <w:rsid w:val="00F442C1"/>
    <w:rsid w:val="00F44829"/>
    <w:rsid w:val="00F44A12"/>
    <w:rsid w:val="00F44BFD"/>
    <w:rsid w:val="00F44D19"/>
    <w:rsid w:val="00F44EED"/>
    <w:rsid w:val="00F45506"/>
    <w:rsid w:val="00F45542"/>
    <w:rsid w:val="00F45641"/>
    <w:rsid w:val="00F4567B"/>
    <w:rsid w:val="00F45800"/>
    <w:rsid w:val="00F45AD5"/>
    <w:rsid w:val="00F45C4A"/>
    <w:rsid w:val="00F45C95"/>
    <w:rsid w:val="00F462F7"/>
    <w:rsid w:val="00F464AA"/>
    <w:rsid w:val="00F46508"/>
    <w:rsid w:val="00F46650"/>
    <w:rsid w:val="00F46B07"/>
    <w:rsid w:val="00F46CED"/>
    <w:rsid w:val="00F46D53"/>
    <w:rsid w:val="00F47152"/>
    <w:rsid w:val="00F47257"/>
    <w:rsid w:val="00F47400"/>
    <w:rsid w:val="00F4768A"/>
    <w:rsid w:val="00F476DE"/>
    <w:rsid w:val="00F477E0"/>
    <w:rsid w:val="00F47807"/>
    <w:rsid w:val="00F47C68"/>
    <w:rsid w:val="00F47CD8"/>
    <w:rsid w:val="00F5003E"/>
    <w:rsid w:val="00F51345"/>
    <w:rsid w:val="00F51458"/>
    <w:rsid w:val="00F51533"/>
    <w:rsid w:val="00F51A0F"/>
    <w:rsid w:val="00F51A17"/>
    <w:rsid w:val="00F52177"/>
    <w:rsid w:val="00F524B2"/>
    <w:rsid w:val="00F528C5"/>
    <w:rsid w:val="00F529B1"/>
    <w:rsid w:val="00F529BE"/>
    <w:rsid w:val="00F531A3"/>
    <w:rsid w:val="00F53292"/>
    <w:rsid w:val="00F532D0"/>
    <w:rsid w:val="00F533AE"/>
    <w:rsid w:val="00F535F7"/>
    <w:rsid w:val="00F536DD"/>
    <w:rsid w:val="00F53BA0"/>
    <w:rsid w:val="00F53F5F"/>
    <w:rsid w:val="00F54342"/>
    <w:rsid w:val="00F544F8"/>
    <w:rsid w:val="00F5460A"/>
    <w:rsid w:val="00F5461D"/>
    <w:rsid w:val="00F54735"/>
    <w:rsid w:val="00F547FB"/>
    <w:rsid w:val="00F54BB5"/>
    <w:rsid w:val="00F54C68"/>
    <w:rsid w:val="00F55063"/>
    <w:rsid w:val="00F5509D"/>
    <w:rsid w:val="00F55578"/>
    <w:rsid w:val="00F55696"/>
    <w:rsid w:val="00F5611F"/>
    <w:rsid w:val="00F56193"/>
    <w:rsid w:val="00F565B8"/>
    <w:rsid w:val="00F566DA"/>
    <w:rsid w:val="00F5674F"/>
    <w:rsid w:val="00F568B3"/>
    <w:rsid w:val="00F5692E"/>
    <w:rsid w:val="00F5757D"/>
    <w:rsid w:val="00F57B9B"/>
    <w:rsid w:val="00F57DB8"/>
    <w:rsid w:val="00F60656"/>
    <w:rsid w:val="00F6066C"/>
    <w:rsid w:val="00F60710"/>
    <w:rsid w:val="00F607BA"/>
    <w:rsid w:val="00F60E48"/>
    <w:rsid w:val="00F610B5"/>
    <w:rsid w:val="00F61493"/>
    <w:rsid w:val="00F616C0"/>
    <w:rsid w:val="00F617C6"/>
    <w:rsid w:val="00F6188D"/>
    <w:rsid w:val="00F618E7"/>
    <w:rsid w:val="00F61C10"/>
    <w:rsid w:val="00F620A4"/>
    <w:rsid w:val="00F62373"/>
    <w:rsid w:val="00F625E0"/>
    <w:rsid w:val="00F62B9A"/>
    <w:rsid w:val="00F62DB8"/>
    <w:rsid w:val="00F6309F"/>
    <w:rsid w:val="00F6313C"/>
    <w:rsid w:val="00F631E8"/>
    <w:rsid w:val="00F634E8"/>
    <w:rsid w:val="00F63589"/>
    <w:rsid w:val="00F635CC"/>
    <w:rsid w:val="00F6360C"/>
    <w:rsid w:val="00F636F7"/>
    <w:rsid w:val="00F63AFB"/>
    <w:rsid w:val="00F63BF2"/>
    <w:rsid w:val="00F63EC9"/>
    <w:rsid w:val="00F641DD"/>
    <w:rsid w:val="00F64224"/>
    <w:rsid w:val="00F643C3"/>
    <w:rsid w:val="00F64481"/>
    <w:rsid w:val="00F64AAB"/>
    <w:rsid w:val="00F64BC5"/>
    <w:rsid w:val="00F650C6"/>
    <w:rsid w:val="00F65144"/>
    <w:rsid w:val="00F65502"/>
    <w:rsid w:val="00F6555B"/>
    <w:rsid w:val="00F657AD"/>
    <w:rsid w:val="00F65830"/>
    <w:rsid w:val="00F65A22"/>
    <w:rsid w:val="00F65B99"/>
    <w:rsid w:val="00F662FB"/>
    <w:rsid w:val="00F669B4"/>
    <w:rsid w:val="00F66A0A"/>
    <w:rsid w:val="00F66E5F"/>
    <w:rsid w:val="00F66EDF"/>
    <w:rsid w:val="00F67319"/>
    <w:rsid w:val="00F673C8"/>
    <w:rsid w:val="00F673CE"/>
    <w:rsid w:val="00F67403"/>
    <w:rsid w:val="00F675BE"/>
    <w:rsid w:val="00F676B5"/>
    <w:rsid w:val="00F6774A"/>
    <w:rsid w:val="00F67CB9"/>
    <w:rsid w:val="00F67CCC"/>
    <w:rsid w:val="00F67E1E"/>
    <w:rsid w:val="00F707DB"/>
    <w:rsid w:val="00F708DA"/>
    <w:rsid w:val="00F70921"/>
    <w:rsid w:val="00F70AB1"/>
    <w:rsid w:val="00F712FA"/>
    <w:rsid w:val="00F717FE"/>
    <w:rsid w:val="00F71954"/>
    <w:rsid w:val="00F72C2D"/>
    <w:rsid w:val="00F72CD7"/>
    <w:rsid w:val="00F72F15"/>
    <w:rsid w:val="00F72F32"/>
    <w:rsid w:val="00F7319C"/>
    <w:rsid w:val="00F733EB"/>
    <w:rsid w:val="00F73431"/>
    <w:rsid w:val="00F7356E"/>
    <w:rsid w:val="00F736F9"/>
    <w:rsid w:val="00F73714"/>
    <w:rsid w:val="00F738EF"/>
    <w:rsid w:val="00F742BD"/>
    <w:rsid w:val="00F747B2"/>
    <w:rsid w:val="00F74988"/>
    <w:rsid w:val="00F74D69"/>
    <w:rsid w:val="00F74FAC"/>
    <w:rsid w:val="00F752E2"/>
    <w:rsid w:val="00F75884"/>
    <w:rsid w:val="00F7590D"/>
    <w:rsid w:val="00F75D10"/>
    <w:rsid w:val="00F76307"/>
    <w:rsid w:val="00F763C3"/>
    <w:rsid w:val="00F7641B"/>
    <w:rsid w:val="00F765BE"/>
    <w:rsid w:val="00F76858"/>
    <w:rsid w:val="00F769F8"/>
    <w:rsid w:val="00F770C5"/>
    <w:rsid w:val="00F770EA"/>
    <w:rsid w:val="00F77408"/>
    <w:rsid w:val="00F776F0"/>
    <w:rsid w:val="00F77775"/>
    <w:rsid w:val="00F77C83"/>
    <w:rsid w:val="00F77DD0"/>
    <w:rsid w:val="00F77FA0"/>
    <w:rsid w:val="00F800C8"/>
    <w:rsid w:val="00F802C9"/>
    <w:rsid w:val="00F803BE"/>
    <w:rsid w:val="00F807F1"/>
    <w:rsid w:val="00F80B71"/>
    <w:rsid w:val="00F80B8F"/>
    <w:rsid w:val="00F80D5F"/>
    <w:rsid w:val="00F80EE2"/>
    <w:rsid w:val="00F810FE"/>
    <w:rsid w:val="00F811F7"/>
    <w:rsid w:val="00F814A8"/>
    <w:rsid w:val="00F82055"/>
    <w:rsid w:val="00F828B2"/>
    <w:rsid w:val="00F82EDC"/>
    <w:rsid w:val="00F82FCB"/>
    <w:rsid w:val="00F832E1"/>
    <w:rsid w:val="00F8337C"/>
    <w:rsid w:val="00F8361C"/>
    <w:rsid w:val="00F838FD"/>
    <w:rsid w:val="00F83BA5"/>
    <w:rsid w:val="00F83D6E"/>
    <w:rsid w:val="00F83DBE"/>
    <w:rsid w:val="00F83E76"/>
    <w:rsid w:val="00F83F74"/>
    <w:rsid w:val="00F841A8"/>
    <w:rsid w:val="00F84346"/>
    <w:rsid w:val="00F8472E"/>
    <w:rsid w:val="00F84764"/>
    <w:rsid w:val="00F84998"/>
    <w:rsid w:val="00F84A9B"/>
    <w:rsid w:val="00F85077"/>
    <w:rsid w:val="00F851FA"/>
    <w:rsid w:val="00F8539A"/>
    <w:rsid w:val="00F85415"/>
    <w:rsid w:val="00F855B3"/>
    <w:rsid w:val="00F85696"/>
    <w:rsid w:val="00F85A67"/>
    <w:rsid w:val="00F85C87"/>
    <w:rsid w:val="00F85CDF"/>
    <w:rsid w:val="00F8632B"/>
    <w:rsid w:val="00F86611"/>
    <w:rsid w:val="00F86947"/>
    <w:rsid w:val="00F86AE0"/>
    <w:rsid w:val="00F86AE6"/>
    <w:rsid w:val="00F86B79"/>
    <w:rsid w:val="00F86C49"/>
    <w:rsid w:val="00F86E36"/>
    <w:rsid w:val="00F86F93"/>
    <w:rsid w:val="00F86FAF"/>
    <w:rsid w:val="00F8704D"/>
    <w:rsid w:val="00F8710E"/>
    <w:rsid w:val="00F8729F"/>
    <w:rsid w:val="00F87BA7"/>
    <w:rsid w:val="00F87C1E"/>
    <w:rsid w:val="00F9016D"/>
    <w:rsid w:val="00F903F7"/>
    <w:rsid w:val="00F90797"/>
    <w:rsid w:val="00F9081B"/>
    <w:rsid w:val="00F90985"/>
    <w:rsid w:val="00F90C8C"/>
    <w:rsid w:val="00F90E34"/>
    <w:rsid w:val="00F90FDA"/>
    <w:rsid w:val="00F911A5"/>
    <w:rsid w:val="00F912D9"/>
    <w:rsid w:val="00F9157C"/>
    <w:rsid w:val="00F91747"/>
    <w:rsid w:val="00F91781"/>
    <w:rsid w:val="00F9186E"/>
    <w:rsid w:val="00F918A4"/>
    <w:rsid w:val="00F91DDB"/>
    <w:rsid w:val="00F91F8D"/>
    <w:rsid w:val="00F92108"/>
    <w:rsid w:val="00F921E8"/>
    <w:rsid w:val="00F92A55"/>
    <w:rsid w:val="00F92AC4"/>
    <w:rsid w:val="00F92CD9"/>
    <w:rsid w:val="00F9322C"/>
    <w:rsid w:val="00F9335E"/>
    <w:rsid w:val="00F93B84"/>
    <w:rsid w:val="00F93CCD"/>
    <w:rsid w:val="00F93F65"/>
    <w:rsid w:val="00F94039"/>
    <w:rsid w:val="00F94458"/>
    <w:rsid w:val="00F94AD9"/>
    <w:rsid w:val="00F94F60"/>
    <w:rsid w:val="00F950B9"/>
    <w:rsid w:val="00F95A13"/>
    <w:rsid w:val="00F95A4F"/>
    <w:rsid w:val="00F96080"/>
    <w:rsid w:val="00F965AB"/>
    <w:rsid w:val="00F96876"/>
    <w:rsid w:val="00F96A69"/>
    <w:rsid w:val="00F96C5E"/>
    <w:rsid w:val="00F96E18"/>
    <w:rsid w:val="00F96FC9"/>
    <w:rsid w:val="00F97427"/>
    <w:rsid w:val="00F97720"/>
    <w:rsid w:val="00F9772D"/>
    <w:rsid w:val="00F97E0E"/>
    <w:rsid w:val="00FA0025"/>
    <w:rsid w:val="00FA0672"/>
    <w:rsid w:val="00FA06FA"/>
    <w:rsid w:val="00FA0A07"/>
    <w:rsid w:val="00FA0AF9"/>
    <w:rsid w:val="00FA1147"/>
    <w:rsid w:val="00FA11C7"/>
    <w:rsid w:val="00FA1441"/>
    <w:rsid w:val="00FA15A2"/>
    <w:rsid w:val="00FA1A8C"/>
    <w:rsid w:val="00FA1E3E"/>
    <w:rsid w:val="00FA2546"/>
    <w:rsid w:val="00FA25EF"/>
    <w:rsid w:val="00FA2C3D"/>
    <w:rsid w:val="00FA2C42"/>
    <w:rsid w:val="00FA311A"/>
    <w:rsid w:val="00FA35C2"/>
    <w:rsid w:val="00FA3749"/>
    <w:rsid w:val="00FA37DD"/>
    <w:rsid w:val="00FA38AC"/>
    <w:rsid w:val="00FA3A79"/>
    <w:rsid w:val="00FA3B88"/>
    <w:rsid w:val="00FA4025"/>
    <w:rsid w:val="00FA40B9"/>
    <w:rsid w:val="00FA43E9"/>
    <w:rsid w:val="00FA4468"/>
    <w:rsid w:val="00FA452F"/>
    <w:rsid w:val="00FA4B50"/>
    <w:rsid w:val="00FA50DE"/>
    <w:rsid w:val="00FA5581"/>
    <w:rsid w:val="00FA56B3"/>
    <w:rsid w:val="00FA5AC4"/>
    <w:rsid w:val="00FA60B2"/>
    <w:rsid w:val="00FA6931"/>
    <w:rsid w:val="00FA6B9E"/>
    <w:rsid w:val="00FA6CBC"/>
    <w:rsid w:val="00FA6D0C"/>
    <w:rsid w:val="00FA6D1D"/>
    <w:rsid w:val="00FA6D3F"/>
    <w:rsid w:val="00FA6FA2"/>
    <w:rsid w:val="00FA70D2"/>
    <w:rsid w:val="00FA795D"/>
    <w:rsid w:val="00FA797C"/>
    <w:rsid w:val="00FA7BD7"/>
    <w:rsid w:val="00FA7CD5"/>
    <w:rsid w:val="00FA7F7F"/>
    <w:rsid w:val="00FB01BE"/>
    <w:rsid w:val="00FB048D"/>
    <w:rsid w:val="00FB0788"/>
    <w:rsid w:val="00FB09FF"/>
    <w:rsid w:val="00FB0B38"/>
    <w:rsid w:val="00FB0EF1"/>
    <w:rsid w:val="00FB1332"/>
    <w:rsid w:val="00FB1552"/>
    <w:rsid w:val="00FB15C9"/>
    <w:rsid w:val="00FB1850"/>
    <w:rsid w:val="00FB1CF2"/>
    <w:rsid w:val="00FB1E85"/>
    <w:rsid w:val="00FB207D"/>
    <w:rsid w:val="00FB2718"/>
    <w:rsid w:val="00FB2836"/>
    <w:rsid w:val="00FB2E51"/>
    <w:rsid w:val="00FB2EF6"/>
    <w:rsid w:val="00FB32C7"/>
    <w:rsid w:val="00FB34B6"/>
    <w:rsid w:val="00FB38C7"/>
    <w:rsid w:val="00FB3905"/>
    <w:rsid w:val="00FB3C63"/>
    <w:rsid w:val="00FB3CBD"/>
    <w:rsid w:val="00FB3E23"/>
    <w:rsid w:val="00FB3EBE"/>
    <w:rsid w:val="00FB5067"/>
    <w:rsid w:val="00FB510A"/>
    <w:rsid w:val="00FB515C"/>
    <w:rsid w:val="00FB516E"/>
    <w:rsid w:val="00FB520D"/>
    <w:rsid w:val="00FB5332"/>
    <w:rsid w:val="00FB53C2"/>
    <w:rsid w:val="00FB5578"/>
    <w:rsid w:val="00FB59EC"/>
    <w:rsid w:val="00FB67E1"/>
    <w:rsid w:val="00FB6F38"/>
    <w:rsid w:val="00FB70A4"/>
    <w:rsid w:val="00FB7247"/>
    <w:rsid w:val="00FB757E"/>
    <w:rsid w:val="00FB7C22"/>
    <w:rsid w:val="00FB7C3F"/>
    <w:rsid w:val="00FB7E98"/>
    <w:rsid w:val="00FC000B"/>
    <w:rsid w:val="00FC0050"/>
    <w:rsid w:val="00FC02FE"/>
    <w:rsid w:val="00FC03A5"/>
    <w:rsid w:val="00FC03D2"/>
    <w:rsid w:val="00FC08E6"/>
    <w:rsid w:val="00FC098D"/>
    <w:rsid w:val="00FC0CC7"/>
    <w:rsid w:val="00FC0FCB"/>
    <w:rsid w:val="00FC1131"/>
    <w:rsid w:val="00FC1824"/>
    <w:rsid w:val="00FC1914"/>
    <w:rsid w:val="00FC1AA1"/>
    <w:rsid w:val="00FC1B50"/>
    <w:rsid w:val="00FC1E5A"/>
    <w:rsid w:val="00FC210E"/>
    <w:rsid w:val="00FC2A39"/>
    <w:rsid w:val="00FC3026"/>
    <w:rsid w:val="00FC3942"/>
    <w:rsid w:val="00FC39B6"/>
    <w:rsid w:val="00FC3CE6"/>
    <w:rsid w:val="00FC3E1F"/>
    <w:rsid w:val="00FC3FE2"/>
    <w:rsid w:val="00FC40DD"/>
    <w:rsid w:val="00FC4162"/>
    <w:rsid w:val="00FC4291"/>
    <w:rsid w:val="00FC450B"/>
    <w:rsid w:val="00FC4973"/>
    <w:rsid w:val="00FC532E"/>
    <w:rsid w:val="00FC5513"/>
    <w:rsid w:val="00FC5F3A"/>
    <w:rsid w:val="00FC603E"/>
    <w:rsid w:val="00FC614D"/>
    <w:rsid w:val="00FC634E"/>
    <w:rsid w:val="00FC68B8"/>
    <w:rsid w:val="00FC6B60"/>
    <w:rsid w:val="00FC6EC4"/>
    <w:rsid w:val="00FC7306"/>
    <w:rsid w:val="00FC7DE1"/>
    <w:rsid w:val="00FC7E15"/>
    <w:rsid w:val="00FD007C"/>
    <w:rsid w:val="00FD00A2"/>
    <w:rsid w:val="00FD06B3"/>
    <w:rsid w:val="00FD06B7"/>
    <w:rsid w:val="00FD09FD"/>
    <w:rsid w:val="00FD108E"/>
    <w:rsid w:val="00FD1147"/>
    <w:rsid w:val="00FD1AD9"/>
    <w:rsid w:val="00FD1EEC"/>
    <w:rsid w:val="00FD211C"/>
    <w:rsid w:val="00FD218A"/>
    <w:rsid w:val="00FD21E6"/>
    <w:rsid w:val="00FD26D1"/>
    <w:rsid w:val="00FD2785"/>
    <w:rsid w:val="00FD2B10"/>
    <w:rsid w:val="00FD2C7F"/>
    <w:rsid w:val="00FD2DF8"/>
    <w:rsid w:val="00FD3216"/>
    <w:rsid w:val="00FD327E"/>
    <w:rsid w:val="00FD3392"/>
    <w:rsid w:val="00FD390B"/>
    <w:rsid w:val="00FD3987"/>
    <w:rsid w:val="00FD39A9"/>
    <w:rsid w:val="00FD39F8"/>
    <w:rsid w:val="00FD3AD0"/>
    <w:rsid w:val="00FD3DCF"/>
    <w:rsid w:val="00FD3EC8"/>
    <w:rsid w:val="00FD42E5"/>
    <w:rsid w:val="00FD4737"/>
    <w:rsid w:val="00FD4829"/>
    <w:rsid w:val="00FD4A6A"/>
    <w:rsid w:val="00FD4C85"/>
    <w:rsid w:val="00FD4D3F"/>
    <w:rsid w:val="00FD581C"/>
    <w:rsid w:val="00FD591E"/>
    <w:rsid w:val="00FD5B07"/>
    <w:rsid w:val="00FD5E8D"/>
    <w:rsid w:val="00FD60E0"/>
    <w:rsid w:val="00FD60FE"/>
    <w:rsid w:val="00FD643E"/>
    <w:rsid w:val="00FD663A"/>
    <w:rsid w:val="00FD6736"/>
    <w:rsid w:val="00FD6AC7"/>
    <w:rsid w:val="00FD6AD9"/>
    <w:rsid w:val="00FD7206"/>
    <w:rsid w:val="00FD741B"/>
    <w:rsid w:val="00FD74A5"/>
    <w:rsid w:val="00FD77DD"/>
    <w:rsid w:val="00FD79B9"/>
    <w:rsid w:val="00FD7B09"/>
    <w:rsid w:val="00FE004A"/>
    <w:rsid w:val="00FE0125"/>
    <w:rsid w:val="00FE030E"/>
    <w:rsid w:val="00FE0545"/>
    <w:rsid w:val="00FE064A"/>
    <w:rsid w:val="00FE07EA"/>
    <w:rsid w:val="00FE0936"/>
    <w:rsid w:val="00FE0996"/>
    <w:rsid w:val="00FE0A31"/>
    <w:rsid w:val="00FE0B82"/>
    <w:rsid w:val="00FE0BD0"/>
    <w:rsid w:val="00FE0E43"/>
    <w:rsid w:val="00FE0FA3"/>
    <w:rsid w:val="00FE121A"/>
    <w:rsid w:val="00FE1417"/>
    <w:rsid w:val="00FE1464"/>
    <w:rsid w:val="00FE155E"/>
    <w:rsid w:val="00FE1EEB"/>
    <w:rsid w:val="00FE20C8"/>
    <w:rsid w:val="00FE27E5"/>
    <w:rsid w:val="00FE2A32"/>
    <w:rsid w:val="00FE2BD0"/>
    <w:rsid w:val="00FE2E62"/>
    <w:rsid w:val="00FE315A"/>
    <w:rsid w:val="00FE32C8"/>
    <w:rsid w:val="00FE3844"/>
    <w:rsid w:val="00FE3A19"/>
    <w:rsid w:val="00FE3FFD"/>
    <w:rsid w:val="00FE41F1"/>
    <w:rsid w:val="00FE4296"/>
    <w:rsid w:val="00FE443E"/>
    <w:rsid w:val="00FE4451"/>
    <w:rsid w:val="00FE4693"/>
    <w:rsid w:val="00FE4805"/>
    <w:rsid w:val="00FE4B5F"/>
    <w:rsid w:val="00FE4BED"/>
    <w:rsid w:val="00FE4DCB"/>
    <w:rsid w:val="00FE4E8D"/>
    <w:rsid w:val="00FE4FCF"/>
    <w:rsid w:val="00FE5018"/>
    <w:rsid w:val="00FE51A5"/>
    <w:rsid w:val="00FE5261"/>
    <w:rsid w:val="00FE52FE"/>
    <w:rsid w:val="00FE548B"/>
    <w:rsid w:val="00FE561B"/>
    <w:rsid w:val="00FE570A"/>
    <w:rsid w:val="00FE57C7"/>
    <w:rsid w:val="00FE5DA5"/>
    <w:rsid w:val="00FE60EB"/>
    <w:rsid w:val="00FE6825"/>
    <w:rsid w:val="00FE6C8C"/>
    <w:rsid w:val="00FE6D0E"/>
    <w:rsid w:val="00FE6E9B"/>
    <w:rsid w:val="00FE7103"/>
    <w:rsid w:val="00FE7338"/>
    <w:rsid w:val="00FE74B9"/>
    <w:rsid w:val="00FE7747"/>
    <w:rsid w:val="00FE7BC9"/>
    <w:rsid w:val="00FF01CD"/>
    <w:rsid w:val="00FF04BD"/>
    <w:rsid w:val="00FF0564"/>
    <w:rsid w:val="00FF0634"/>
    <w:rsid w:val="00FF0721"/>
    <w:rsid w:val="00FF078F"/>
    <w:rsid w:val="00FF07E0"/>
    <w:rsid w:val="00FF084B"/>
    <w:rsid w:val="00FF0B28"/>
    <w:rsid w:val="00FF1040"/>
    <w:rsid w:val="00FF11E1"/>
    <w:rsid w:val="00FF15DF"/>
    <w:rsid w:val="00FF15E2"/>
    <w:rsid w:val="00FF194B"/>
    <w:rsid w:val="00FF1AC0"/>
    <w:rsid w:val="00FF1BCC"/>
    <w:rsid w:val="00FF1BD5"/>
    <w:rsid w:val="00FF1CE4"/>
    <w:rsid w:val="00FF1DC6"/>
    <w:rsid w:val="00FF1E55"/>
    <w:rsid w:val="00FF21B8"/>
    <w:rsid w:val="00FF2577"/>
    <w:rsid w:val="00FF274E"/>
    <w:rsid w:val="00FF2918"/>
    <w:rsid w:val="00FF2982"/>
    <w:rsid w:val="00FF2A4D"/>
    <w:rsid w:val="00FF2CEC"/>
    <w:rsid w:val="00FF2D58"/>
    <w:rsid w:val="00FF2D6C"/>
    <w:rsid w:val="00FF302F"/>
    <w:rsid w:val="00FF3122"/>
    <w:rsid w:val="00FF3550"/>
    <w:rsid w:val="00FF36BD"/>
    <w:rsid w:val="00FF3A36"/>
    <w:rsid w:val="00FF41B3"/>
    <w:rsid w:val="00FF422A"/>
    <w:rsid w:val="00FF456D"/>
    <w:rsid w:val="00FF4614"/>
    <w:rsid w:val="00FF4697"/>
    <w:rsid w:val="00FF4735"/>
    <w:rsid w:val="00FF47B3"/>
    <w:rsid w:val="00FF47DD"/>
    <w:rsid w:val="00FF4874"/>
    <w:rsid w:val="00FF48F6"/>
    <w:rsid w:val="00FF49F1"/>
    <w:rsid w:val="00FF4C1A"/>
    <w:rsid w:val="00FF4E03"/>
    <w:rsid w:val="00FF4FB4"/>
    <w:rsid w:val="00FF5247"/>
    <w:rsid w:val="00FF5292"/>
    <w:rsid w:val="00FF52DE"/>
    <w:rsid w:val="00FF5356"/>
    <w:rsid w:val="00FF5839"/>
    <w:rsid w:val="00FF601F"/>
    <w:rsid w:val="00FF666B"/>
    <w:rsid w:val="00FF6B15"/>
    <w:rsid w:val="00FF704E"/>
    <w:rsid w:val="00FF7228"/>
    <w:rsid w:val="00FF7245"/>
    <w:rsid w:val="00FF74BE"/>
    <w:rsid w:val="00FF7C46"/>
    <w:rsid w:val="00FF7EF0"/>
    <w:rsid w:val="4FF007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0458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762F"/>
    <w:pPr>
      <w:spacing w:after="240" w:line="341" w:lineRule="auto"/>
      <w:jc w:val="both"/>
    </w:pPr>
    <w:rPr>
      <w:rFonts w:ascii="Arial" w:eastAsia="Times New Roman" w:hAnsi="Arial"/>
      <w:sz w:val="20"/>
      <w:szCs w:val="20"/>
      <w:lang w:eastAsia="de-DE"/>
    </w:rPr>
  </w:style>
  <w:style w:type="paragraph" w:styleId="berschrift1">
    <w:name w:val="heading 1"/>
    <w:basedOn w:val="berschrift2"/>
    <w:next w:val="Standard"/>
    <w:link w:val="berschrift1Zchn"/>
    <w:uiPriority w:val="9"/>
    <w:qFormat/>
    <w:rsid w:val="00814762"/>
    <w:pPr>
      <w:numPr>
        <w:ilvl w:val="0"/>
      </w:numPr>
      <w:outlineLvl w:val="0"/>
    </w:pPr>
  </w:style>
  <w:style w:type="paragraph" w:styleId="berschrift2">
    <w:name w:val="heading 2"/>
    <w:basedOn w:val="Standard"/>
    <w:next w:val="Standard"/>
    <w:link w:val="berschrift2Zchn"/>
    <w:uiPriority w:val="9"/>
    <w:qFormat/>
    <w:rsid w:val="00814762"/>
    <w:pPr>
      <w:keepNext/>
      <w:numPr>
        <w:ilvl w:val="1"/>
        <w:numId w:val="9"/>
      </w:numPr>
      <w:outlineLvl w:val="1"/>
    </w:pPr>
    <w:rPr>
      <w:rFonts w:ascii="Trebuchet MS" w:hAnsi="Trebuchet MS" w:cs="Arial"/>
      <w:b/>
      <w:bCs/>
      <w:iCs/>
      <w:color w:val="004E7D"/>
      <w:sz w:val="22"/>
      <w:szCs w:val="28"/>
      <w:lang w:val="en-GB"/>
    </w:rPr>
  </w:style>
  <w:style w:type="paragraph" w:styleId="berschrift3">
    <w:name w:val="heading 3"/>
    <w:basedOn w:val="berschrift2"/>
    <w:next w:val="Standard"/>
    <w:link w:val="berschrift3Zchn"/>
    <w:uiPriority w:val="99"/>
    <w:qFormat/>
    <w:locked/>
    <w:rsid w:val="005758DF"/>
    <w:pPr>
      <w:numPr>
        <w:ilvl w:val="2"/>
      </w:numPr>
      <w:outlineLvl w:val="2"/>
    </w:pPr>
  </w:style>
  <w:style w:type="paragraph" w:styleId="berschrift4">
    <w:name w:val="heading 4"/>
    <w:basedOn w:val="Standard"/>
    <w:next w:val="Standard"/>
    <w:link w:val="berschrift4Zchn"/>
    <w:uiPriority w:val="99"/>
    <w:qFormat/>
    <w:rsid w:val="00FF2CEC"/>
    <w:pPr>
      <w:keepNext/>
      <w:spacing w:before="240" w:after="60"/>
      <w:ind w:left="708" w:firstLine="708"/>
      <w:outlineLvl w:val="3"/>
    </w:pPr>
    <w:rPr>
      <w:rFonts w:cs="Arial"/>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14762"/>
    <w:rPr>
      <w:rFonts w:ascii="Trebuchet MS" w:eastAsia="Times New Roman" w:hAnsi="Trebuchet MS" w:cs="Arial"/>
      <w:b/>
      <w:bCs/>
      <w:iCs/>
      <w:color w:val="004E7D"/>
      <w:szCs w:val="28"/>
      <w:lang w:val="en-GB" w:eastAsia="de-DE"/>
    </w:rPr>
  </w:style>
  <w:style w:type="character" w:customStyle="1" w:styleId="berschrift2Zchn">
    <w:name w:val="Überschrift 2 Zchn"/>
    <w:basedOn w:val="Absatz-Standardschriftart"/>
    <w:link w:val="berschrift2"/>
    <w:uiPriority w:val="9"/>
    <w:locked/>
    <w:rsid w:val="00814762"/>
    <w:rPr>
      <w:rFonts w:ascii="Trebuchet MS" w:eastAsia="Times New Roman" w:hAnsi="Trebuchet MS" w:cs="Arial"/>
      <w:b/>
      <w:bCs/>
      <w:iCs/>
      <w:color w:val="004E7D"/>
      <w:szCs w:val="28"/>
      <w:lang w:val="en-GB" w:eastAsia="de-DE"/>
    </w:rPr>
  </w:style>
  <w:style w:type="character" w:customStyle="1" w:styleId="berschrift3Zchn">
    <w:name w:val="Überschrift 3 Zchn"/>
    <w:basedOn w:val="Absatz-Standardschriftart"/>
    <w:link w:val="berschrift3"/>
    <w:uiPriority w:val="99"/>
    <w:locked/>
    <w:rsid w:val="005758DF"/>
    <w:rPr>
      <w:rFonts w:ascii="Trebuchet MS" w:eastAsia="Times New Roman" w:hAnsi="Trebuchet MS" w:cs="Arial"/>
      <w:b/>
      <w:bCs/>
      <w:iCs/>
      <w:color w:val="004E7D"/>
      <w:szCs w:val="28"/>
      <w:lang w:val="en-GB" w:eastAsia="de-DE"/>
    </w:rPr>
  </w:style>
  <w:style w:type="character" w:customStyle="1" w:styleId="berschrift4Zchn">
    <w:name w:val="Überschrift 4 Zchn"/>
    <w:basedOn w:val="Absatz-Standardschriftart"/>
    <w:link w:val="berschrift4"/>
    <w:uiPriority w:val="99"/>
    <w:locked/>
    <w:rsid w:val="00FF2CEC"/>
    <w:rPr>
      <w:rFonts w:ascii="Arial" w:eastAsia="Times New Roman" w:hAnsi="Arial" w:cs="Arial"/>
      <w:b/>
      <w:bCs/>
      <w:sz w:val="20"/>
      <w:szCs w:val="28"/>
      <w:lang w:val="en-GB" w:eastAsia="de-DE"/>
    </w:rPr>
  </w:style>
  <w:style w:type="paragraph" w:styleId="Sprechblasentext">
    <w:name w:val="Balloon Text"/>
    <w:basedOn w:val="Standard"/>
    <w:link w:val="SprechblasentextZchn"/>
    <w:uiPriority w:val="99"/>
    <w:semiHidden/>
    <w:rsid w:val="00D3669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3669F"/>
    <w:rPr>
      <w:rFonts w:ascii="Tahoma" w:hAnsi="Tahoma" w:cs="Tahoma"/>
      <w:sz w:val="16"/>
      <w:szCs w:val="16"/>
    </w:rPr>
  </w:style>
  <w:style w:type="paragraph" w:styleId="Kopfzeile">
    <w:name w:val="header"/>
    <w:basedOn w:val="Standard"/>
    <w:link w:val="KopfzeileZchn"/>
    <w:uiPriority w:val="99"/>
    <w:rsid w:val="007C5CD7"/>
    <w:pPr>
      <w:tabs>
        <w:tab w:val="center" w:pos="4536"/>
        <w:tab w:val="right" w:pos="9072"/>
      </w:tabs>
    </w:pPr>
  </w:style>
  <w:style w:type="character" w:customStyle="1" w:styleId="KopfzeileZchn">
    <w:name w:val="Kopfzeile Zchn"/>
    <w:basedOn w:val="Absatz-Standardschriftart"/>
    <w:link w:val="Kopfzeile"/>
    <w:uiPriority w:val="99"/>
    <w:locked/>
    <w:rsid w:val="002620A5"/>
    <w:rPr>
      <w:rFonts w:ascii="Arial" w:hAnsi="Arial" w:cs="Times New Roman"/>
      <w:sz w:val="20"/>
      <w:szCs w:val="20"/>
    </w:rPr>
  </w:style>
  <w:style w:type="character" w:styleId="Hyperlink">
    <w:name w:val="Hyperlink"/>
    <w:basedOn w:val="Absatz-Standardschriftart"/>
    <w:uiPriority w:val="99"/>
    <w:rsid w:val="0064413C"/>
    <w:rPr>
      <w:rFonts w:cs="Times New Roman"/>
      <w:color w:val="0000FF"/>
      <w:u w:val="single"/>
    </w:rPr>
  </w:style>
  <w:style w:type="paragraph" w:styleId="Fuzeile">
    <w:name w:val="footer"/>
    <w:basedOn w:val="Standard"/>
    <w:link w:val="FuzeileZchn"/>
    <w:uiPriority w:val="99"/>
    <w:rsid w:val="001415DB"/>
    <w:pPr>
      <w:tabs>
        <w:tab w:val="center" w:pos="4536"/>
        <w:tab w:val="right" w:pos="9072"/>
      </w:tabs>
    </w:pPr>
    <w:rPr>
      <w:sz w:val="14"/>
    </w:rPr>
  </w:style>
  <w:style w:type="character" w:customStyle="1" w:styleId="FuzeileZchn">
    <w:name w:val="Fußzeile Zchn"/>
    <w:basedOn w:val="Absatz-Standardschriftart"/>
    <w:link w:val="Fuzeile"/>
    <w:uiPriority w:val="99"/>
    <w:locked/>
    <w:rsid w:val="002620A5"/>
    <w:rPr>
      <w:rFonts w:ascii="Arial" w:hAnsi="Arial" w:cs="Times New Roman"/>
      <w:sz w:val="20"/>
      <w:szCs w:val="20"/>
    </w:rPr>
  </w:style>
  <w:style w:type="character" w:styleId="Seitenzahl">
    <w:name w:val="page number"/>
    <w:basedOn w:val="Absatz-Standardschriftart"/>
    <w:uiPriority w:val="99"/>
    <w:rsid w:val="001415DB"/>
    <w:rPr>
      <w:rFonts w:ascii="Arial" w:hAnsi="Arial" w:cs="Times New Roman"/>
      <w:sz w:val="14"/>
    </w:rPr>
  </w:style>
  <w:style w:type="paragraph" w:customStyle="1" w:styleId="Inhaltsverzeichnis">
    <w:name w:val="Inhaltsverzeichnis"/>
    <w:basedOn w:val="Standard"/>
    <w:uiPriority w:val="99"/>
    <w:rsid w:val="0048796A"/>
    <w:pPr>
      <w:spacing w:line="500" w:lineRule="auto"/>
    </w:pPr>
    <w:rPr>
      <w:rFonts w:ascii="Trebuchet MS" w:eastAsia="Times" w:hAnsi="Trebuchet MS"/>
      <w:b/>
      <w:bCs/>
      <w:color w:val="004E7D"/>
      <w:sz w:val="22"/>
    </w:rPr>
  </w:style>
  <w:style w:type="character" w:customStyle="1" w:styleId="AdressfeldStandart">
    <w:name w:val="Adressfeld Standart"/>
    <w:basedOn w:val="Absatz-Standardschriftart"/>
    <w:uiPriority w:val="99"/>
    <w:rsid w:val="005A50C0"/>
    <w:rPr>
      <w:rFonts w:cs="Arial"/>
      <w:color w:val="000000"/>
      <w:sz w:val="18"/>
      <w:szCs w:val="18"/>
      <w:lang w:val="en-GB"/>
    </w:rPr>
  </w:style>
  <w:style w:type="character" w:customStyle="1" w:styleId="Adressfeldberschrift">
    <w:name w:val="Adressfeld Überschrift"/>
    <w:basedOn w:val="Absatz-Standardschriftart"/>
    <w:uiPriority w:val="99"/>
    <w:rsid w:val="008E6C39"/>
    <w:rPr>
      <w:rFonts w:ascii="Trebuchet MS" w:hAnsi="Trebuchet MS" w:cs="Trebuchet MS"/>
      <w:b/>
      <w:bCs/>
      <w:color w:val="004E7D"/>
      <w:sz w:val="22"/>
      <w:szCs w:val="22"/>
      <w:lang w:val="en-GB"/>
    </w:rPr>
  </w:style>
  <w:style w:type="character" w:customStyle="1" w:styleId="berschrift1blau">
    <w:name w:val="Überschrift 1 blau"/>
    <w:basedOn w:val="Absatz-Standardschriftart"/>
    <w:uiPriority w:val="99"/>
    <w:rsid w:val="002243F7"/>
    <w:rPr>
      <w:rFonts w:ascii="Trebuchet MS" w:hAnsi="Trebuchet MS" w:cs="Trebuchet MS"/>
      <w:color w:val="000080"/>
      <w:sz w:val="36"/>
      <w:szCs w:val="36"/>
    </w:rPr>
  </w:style>
  <w:style w:type="paragraph" w:styleId="Funotentext">
    <w:name w:val="footnote text"/>
    <w:aliases w:val="-E Fußnotentext,Fußnotentext Ursprung,Char"/>
    <w:basedOn w:val="Standard"/>
    <w:link w:val="FunotentextZchn"/>
    <w:uiPriority w:val="99"/>
    <w:rsid w:val="009B3356"/>
  </w:style>
  <w:style w:type="character" w:customStyle="1" w:styleId="FootnoteTextChar">
    <w:name w:val="Footnote Text Char"/>
    <w:aliases w:val="-E Fußnotentext Char,Fußnotentext Ursprung Char,Char Char"/>
    <w:basedOn w:val="Absatz-Standardschriftart"/>
    <w:uiPriority w:val="99"/>
    <w:semiHidden/>
    <w:locked/>
    <w:rsid w:val="005A27E2"/>
    <w:rPr>
      <w:rFonts w:ascii="Arial" w:hAnsi="Arial" w:cs="Times New Roman"/>
      <w:sz w:val="20"/>
      <w:szCs w:val="20"/>
      <w:lang w:eastAsia="de-DE"/>
    </w:rPr>
  </w:style>
  <w:style w:type="character" w:customStyle="1" w:styleId="FunotentextZchn">
    <w:name w:val="Fußnotentext Zchn"/>
    <w:aliases w:val="-E Fußnotentext Zchn,Fußnotentext Ursprung Zchn,Char Zchn"/>
    <w:basedOn w:val="Absatz-Standardschriftart"/>
    <w:link w:val="Funotentext"/>
    <w:uiPriority w:val="99"/>
    <w:locked/>
    <w:rsid w:val="009B3356"/>
    <w:rPr>
      <w:rFonts w:ascii="Arial" w:hAnsi="Arial" w:cs="Times New Roman"/>
    </w:rPr>
  </w:style>
  <w:style w:type="character" w:styleId="Funotenzeichen">
    <w:name w:val="footnote reference"/>
    <w:aliases w:val="-E Fußnotenzeichen"/>
    <w:basedOn w:val="Absatz-Standardschriftart"/>
    <w:uiPriority w:val="99"/>
    <w:rsid w:val="009B3356"/>
    <w:rPr>
      <w:rFonts w:cs="Times New Roman"/>
      <w:vertAlign w:val="superscript"/>
    </w:rPr>
  </w:style>
  <w:style w:type="paragraph" w:styleId="Textkrper">
    <w:name w:val="Body Text"/>
    <w:basedOn w:val="Standard"/>
    <w:link w:val="TextkrperZchn"/>
    <w:uiPriority w:val="99"/>
    <w:rsid w:val="00B479C2"/>
    <w:pPr>
      <w:spacing w:line="240" w:lineRule="auto"/>
    </w:pPr>
    <w:rPr>
      <w:rFonts w:eastAsia="Times"/>
      <w:sz w:val="22"/>
      <w:lang w:eastAsia="en-US"/>
    </w:rPr>
  </w:style>
  <w:style w:type="character" w:customStyle="1" w:styleId="TextkrperZchn">
    <w:name w:val="Textkörper Zchn"/>
    <w:basedOn w:val="Absatz-Standardschriftart"/>
    <w:link w:val="Textkrper"/>
    <w:uiPriority w:val="99"/>
    <w:locked/>
    <w:rsid w:val="00B479C2"/>
    <w:rPr>
      <w:rFonts w:ascii="Arial" w:hAnsi="Arial" w:cs="Times New Roman"/>
      <w:sz w:val="22"/>
      <w:lang w:val="en-GB" w:eastAsia="en-US"/>
    </w:rPr>
  </w:style>
  <w:style w:type="paragraph" w:styleId="Kommentartext">
    <w:name w:val="annotation text"/>
    <w:basedOn w:val="Standard"/>
    <w:link w:val="KommentartextZchn"/>
    <w:autoRedefine/>
    <w:uiPriority w:val="99"/>
    <w:qFormat/>
    <w:rsid w:val="00BC5C87"/>
    <w:pPr>
      <w:spacing w:line="240" w:lineRule="atLeast"/>
    </w:pPr>
    <w:rPr>
      <w:rFonts w:eastAsia="Times"/>
      <w:lang w:val="en-GB" w:eastAsia="en-US"/>
    </w:rPr>
  </w:style>
  <w:style w:type="character" w:customStyle="1" w:styleId="CommentTextChar">
    <w:name w:val="Comment Text Char"/>
    <w:basedOn w:val="Absatz-Standardschriftart"/>
    <w:uiPriority w:val="99"/>
    <w:locked/>
    <w:rsid w:val="003A7058"/>
    <w:rPr>
      <w:rFonts w:ascii="Calibri" w:hAnsi="Calibri" w:cs="Times New Roman"/>
    </w:rPr>
  </w:style>
  <w:style w:type="character" w:customStyle="1" w:styleId="KommentartextZchn">
    <w:name w:val="Kommentartext Zchn"/>
    <w:basedOn w:val="Absatz-Standardschriftart"/>
    <w:link w:val="Kommentartext"/>
    <w:uiPriority w:val="99"/>
    <w:qFormat/>
    <w:locked/>
    <w:rsid w:val="00BC5C87"/>
    <w:rPr>
      <w:rFonts w:ascii="Arial" w:hAnsi="Arial"/>
      <w:sz w:val="20"/>
      <w:szCs w:val="20"/>
      <w:lang w:val="en-GB"/>
    </w:rPr>
  </w:style>
  <w:style w:type="paragraph" w:styleId="Inhaltsverzeichnisberschrift">
    <w:name w:val="TOC Heading"/>
    <w:basedOn w:val="berschrift1"/>
    <w:next w:val="Standard"/>
    <w:uiPriority w:val="39"/>
    <w:qFormat/>
    <w:rsid w:val="00D3669F"/>
    <w:pPr>
      <w:keepLines/>
      <w:spacing w:before="480" w:line="276" w:lineRule="auto"/>
      <w:outlineLvl w:val="9"/>
    </w:pPr>
    <w:rPr>
      <w:rFonts w:ascii="Cambria" w:eastAsia="Times" w:hAnsi="Cambria"/>
      <w:b w:val="0"/>
      <w:bCs w:val="0"/>
      <w:color w:val="365F91"/>
      <w:sz w:val="28"/>
      <w:lang w:eastAsia="en-US"/>
    </w:rPr>
  </w:style>
  <w:style w:type="paragraph" w:styleId="Verzeichnis2">
    <w:name w:val="toc 2"/>
    <w:basedOn w:val="Standard"/>
    <w:next w:val="Standard"/>
    <w:autoRedefine/>
    <w:uiPriority w:val="39"/>
    <w:rsid w:val="00747CF9"/>
    <w:pPr>
      <w:spacing w:after="0"/>
      <w:ind w:left="200"/>
      <w:jc w:val="left"/>
    </w:pPr>
    <w:rPr>
      <w:rFonts w:asciiTheme="minorHAnsi" w:hAnsiTheme="minorHAnsi" w:cstheme="minorHAnsi"/>
      <w:smallCaps/>
    </w:rPr>
  </w:style>
  <w:style w:type="paragraph" w:styleId="Verzeichnis1">
    <w:name w:val="toc 1"/>
    <w:basedOn w:val="Standard"/>
    <w:next w:val="Standard"/>
    <w:autoRedefine/>
    <w:uiPriority w:val="39"/>
    <w:rsid w:val="001A0E02"/>
    <w:pPr>
      <w:tabs>
        <w:tab w:val="left" w:pos="400"/>
        <w:tab w:val="right" w:leader="dot" w:pos="9016"/>
      </w:tabs>
      <w:spacing w:before="120" w:after="120"/>
      <w:jc w:val="left"/>
    </w:pPr>
    <w:rPr>
      <w:rFonts w:asciiTheme="minorHAnsi" w:hAnsiTheme="minorHAnsi" w:cstheme="minorHAnsi"/>
      <w:b/>
      <w:bCs/>
      <w:caps/>
    </w:rPr>
  </w:style>
  <w:style w:type="paragraph" w:styleId="Verzeichnis3">
    <w:name w:val="toc 3"/>
    <w:basedOn w:val="Standard"/>
    <w:next w:val="Standard"/>
    <w:autoRedefine/>
    <w:uiPriority w:val="39"/>
    <w:rsid w:val="009F4A38"/>
    <w:pPr>
      <w:spacing w:after="0"/>
      <w:ind w:left="400"/>
      <w:jc w:val="left"/>
    </w:pPr>
    <w:rPr>
      <w:rFonts w:asciiTheme="minorHAnsi" w:hAnsiTheme="minorHAnsi" w:cstheme="minorHAnsi"/>
      <w:i/>
      <w:iCs/>
    </w:rPr>
  </w:style>
  <w:style w:type="character" w:styleId="Kommentarzeichen">
    <w:name w:val="annotation reference"/>
    <w:basedOn w:val="Absatz-Standardschriftart"/>
    <w:uiPriority w:val="99"/>
    <w:semiHidden/>
    <w:qFormat/>
    <w:rsid w:val="003C651E"/>
    <w:rPr>
      <w:rFonts w:cs="Times New Roman"/>
      <w:sz w:val="16"/>
      <w:szCs w:val="16"/>
    </w:rPr>
  </w:style>
  <w:style w:type="paragraph" w:styleId="Kommentarthema">
    <w:name w:val="annotation subject"/>
    <w:basedOn w:val="Kommentartext"/>
    <w:next w:val="Kommentartext"/>
    <w:link w:val="KommentarthemaZchn"/>
    <w:uiPriority w:val="99"/>
    <w:semiHidden/>
    <w:rsid w:val="003C651E"/>
    <w:pPr>
      <w:spacing w:line="340" w:lineRule="auto"/>
      <w:jc w:val="left"/>
    </w:pPr>
    <w:rPr>
      <w:rFonts w:eastAsia="Times New Roman"/>
      <w:b/>
      <w:bCs/>
      <w:lang w:val="de-DE" w:eastAsia="de-DE"/>
    </w:rPr>
  </w:style>
  <w:style w:type="character" w:customStyle="1" w:styleId="KommentarthemaZchn">
    <w:name w:val="Kommentarthema Zchn"/>
    <w:basedOn w:val="KommentartextZchn"/>
    <w:link w:val="Kommentarthema"/>
    <w:uiPriority w:val="99"/>
    <w:semiHidden/>
    <w:locked/>
    <w:rsid w:val="00EF777F"/>
    <w:rPr>
      <w:rFonts w:ascii="Arial" w:hAnsi="Arial" w:cs="Times New Roman"/>
      <w:b/>
      <w:bCs/>
      <w:sz w:val="20"/>
      <w:szCs w:val="20"/>
      <w:lang w:val="fr-FR" w:eastAsia="en-US"/>
    </w:rPr>
  </w:style>
  <w:style w:type="paragraph" w:customStyle="1" w:styleId="Tabelle">
    <w:name w:val="Tabelle"/>
    <w:basedOn w:val="Textkrper"/>
    <w:uiPriority w:val="99"/>
    <w:rsid w:val="006213F5"/>
    <w:pPr>
      <w:spacing w:before="60" w:after="60"/>
      <w:jc w:val="left"/>
    </w:pPr>
    <w:rPr>
      <w:rFonts w:ascii="NewsGoth BT" w:eastAsia="Times New Roman" w:hAnsi="NewsGoth BT"/>
      <w:sz w:val="20"/>
      <w:lang w:val="de-DE" w:eastAsia="de-DE"/>
    </w:rPr>
  </w:style>
  <w:style w:type="table" w:styleId="Tabellenraster">
    <w:name w:val="Table Grid"/>
    <w:basedOn w:val="NormaleTabelle"/>
    <w:uiPriority w:val="99"/>
    <w:rsid w:val="009456C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einrueck">
    <w:name w:val="standardeinrueck"/>
    <w:basedOn w:val="Standard"/>
    <w:uiPriority w:val="99"/>
    <w:rsid w:val="00B2458C"/>
    <w:pPr>
      <w:numPr>
        <w:numId w:val="2"/>
      </w:numPr>
      <w:tabs>
        <w:tab w:val="clear" w:pos="360"/>
        <w:tab w:val="left" w:pos="284"/>
      </w:tabs>
      <w:spacing w:line="240" w:lineRule="auto"/>
    </w:pPr>
  </w:style>
  <w:style w:type="paragraph" w:styleId="StandardWeb">
    <w:name w:val="Normal (Web)"/>
    <w:basedOn w:val="Standard"/>
    <w:uiPriority w:val="99"/>
    <w:rsid w:val="003367CC"/>
    <w:pPr>
      <w:spacing w:before="100" w:beforeAutospacing="1" w:after="100" w:afterAutospacing="1" w:line="240" w:lineRule="auto"/>
    </w:pPr>
    <w:rPr>
      <w:rFonts w:ascii="Times New Roman" w:hAnsi="Times New Roman"/>
      <w:sz w:val="24"/>
      <w:szCs w:val="24"/>
    </w:rPr>
  </w:style>
  <w:style w:type="paragraph" w:styleId="Beschriftung">
    <w:name w:val="caption"/>
    <w:basedOn w:val="Standard"/>
    <w:next w:val="Standard"/>
    <w:uiPriority w:val="35"/>
    <w:qFormat/>
    <w:rsid w:val="00814762"/>
    <w:pPr>
      <w:keepNext/>
    </w:pPr>
    <w:rPr>
      <w:rFonts w:cs="Arial"/>
      <w:b/>
      <w:bCs/>
      <w:sz w:val="16"/>
      <w:szCs w:val="16"/>
      <w:lang w:val="en-GB"/>
    </w:rPr>
  </w:style>
  <w:style w:type="character" w:styleId="BesuchterLink">
    <w:name w:val="FollowedHyperlink"/>
    <w:basedOn w:val="Absatz-Standardschriftart"/>
    <w:uiPriority w:val="99"/>
    <w:rsid w:val="0037690D"/>
    <w:rPr>
      <w:rFonts w:cs="Times New Roman"/>
      <w:color w:val="800080"/>
      <w:u w:val="single"/>
    </w:rPr>
  </w:style>
  <w:style w:type="character" w:customStyle="1" w:styleId="caittbl1">
    <w:name w:val="caittbl1"/>
    <w:basedOn w:val="Absatz-Standardschriftart"/>
    <w:uiPriority w:val="99"/>
    <w:rsid w:val="005E2845"/>
    <w:rPr>
      <w:rFonts w:cs="Times New Roman"/>
    </w:rPr>
  </w:style>
  <w:style w:type="paragraph" w:styleId="NurText">
    <w:name w:val="Plain Text"/>
    <w:basedOn w:val="Standard"/>
    <w:link w:val="NurTextZchn"/>
    <w:uiPriority w:val="99"/>
    <w:rsid w:val="003A7058"/>
    <w:pPr>
      <w:spacing w:line="240" w:lineRule="auto"/>
    </w:pPr>
    <w:rPr>
      <w:rFonts w:ascii="Consolas" w:hAnsi="Consolas"/>
      <w:sz w:val="21"/>
      <w:szCs w:val="21"/>
      <w:lang w:eastAsia="en-US"/>
    </w:rPr>
  </w:style>
  <w:style w:type="character" w:customStyle="1" w:styleId="NurTextZchn">
    <w:name w:val="Nur Text Zchn"/>
    <w:basedOn w:val="Absatz-Standardschriftart"/>
    <w:link w:val="NurText"/>
    <w:uiPriority w:val="99"/>
    <w:locked/>
    <w:rsid w:val="003A7058"/>
    <w:rPr>
      <w:rFonts w:ascii="Consolas" w:hAnsi="Consolas" w:cs="Times New Roman"/>
      <w:sz w:val="21"/>
      <w:szCs w:val="21"/>
      <w:lang w:val="en-US" w:eastAsia="en-US" w:bidi="ar-SA"/>
    </w:rPr>
  </w:style>
  <w:style w:type="character" w:customStyle="1" w:styleId="english-title1">
    <w:name w:val="english-title1"/>
    <w:basedOn w:val="Absatz-Standardschriftart"/>
    <w:uiPriority w:val="99"/>
    <w:rsid w:val="00253CEB"/>
    <w:rPr>
      <w:rFonts w:ascii="Arial" w:hAnsi="Arial" w:cs="Arial"/>
      <w:b/>
      <w:bCs/>
      <w:color w:val="999999"/>
      <w:sz w:val="24"/>
      <w:szCs w:val="24"/>
    </w:rPr>
  </w:style>
  <w:style w:type="paragraph" w:customStyle="1" w:styleId="msolistparagraph0">
    <w:name w:val="msolistparagraph"/>
    <w:basedOn w:val="Standard"/>
    <w:uiPriority w:val="99"/>
    <w:rsid w:val="00C831D4"/>
    <w:pPr>
      <w:spacing w:line="240" w:lineRule="auto"/>
      <w:ind w:left="720"/>
    </w:pPr>
    <w:rPr>
      <w:rFonts w:ascii="Calibri" w:eastAsia="MS Mincho" w:hAnsi="Calibri"/>
      <w:sz w:val="22"/>
      <w:szCs w:val="22"/>
      <w:lang w:val="de-DE" w:eastAsia="ja-JP"/>
    </w:rPr>
  </w:style>
  <w:style w:type="character" w:customStyle="1" w:styleId="CommentTextChar1">
    <w:name w:val="Comment Text Char1"/>
    <w:basedOn w:val="Absatz-Standardschriftart"/>
    <w:uiPriority w:val="99"/>
    <w:semiHidden/>
    <w:locked/>
    <w:rsid w:val="001B591A"/>
    <w:rPr>
      <w:rFonts w:ascii="Arial" w:hAnsi="Arial" w:cs="Times New Roman"/>
      <w:lang w:val="fr-FR" w:eastAsia="en-US"/>
    </w:rPr>
  </w:style>
  <w:style w:type="paragraph" w:customStyle="1" w:styleId="textogeneral">
    <w:name w:val="texto_general"/>
    <w:basedOn w:val="Standard"/>
    <w:uiPriority w:val="99"/>
    <w:rsid w:val="005A27E2"/>
    <w:pPr>
      <w:spacing w:before="100" w:beforeAutospacing="1" w:after="100" w:afterAutospacing="1" w:line="240" w:lineRule="auto"/>
    </w:pPr>
    <w:rPr>
      <w:rFonts w:ascii="Times New Roman" w:eastAsia="Times" w:hAnsi="Times New Roman"/>
      <w:color w:val="595959"/>
      <w:lang w:eastAsia="en-GB"/>
    </w:rPr>
  </w:style>
  <w:style w:type="character" w:styleId="Fett">
    <w:name w:val="Strong"/>
    <w:basedOn w:val="Absatz-Standardschriftart"/>
    <w:uiPriority w:val="99"/>
    <w:qFormat/>
    <w:rsid w:val="005A27E2"/>
    <w:rPr>
      <w:rFonts w:cs="Times New Roman"/>
      <w:b/>
      <w:bCs/>
    </w:rPr>
  </w:style>
  <w:style w:type="paragraph" w:styleId="Listenabsatz">
    <w:name w:val="List Paragraph"/>
    <w:basedOn w:val="Standard"/>
    <w:uiPriority w:val="34"/>
    <w:qFormat/>
    <w:rsid w:val="005A27E2"/>
    <w:pPr>
      <w:ind w:left="720"/>
      <w:contextualSpacing/>
    </w:pPr>
    <w:rPr>
      <w:rFonts w:eastAsia="Times"/>
    </w:rPr>
  </w:style>
  <w:style w:type="character" w:customStyle="1" w:styleId="padded">
    <w:name w:val="padded"/>
    <w:basedOn w:val="Absatz-Standardschriftart"/>
    <w:uiPriority w:val="99"/>
    <w:rsid w:val="00D17CD4"/>
    <w:rPr>
      <w:rFonts w:cs="Times New Roman"/>
    </w:rPr>
  </w:style>
  <w:style w:type="character" w:customStyle="1" w:styleId="shorttext">
    <w:name w:val="short_text"/>
    <w:basedOn w:val="Absatz-Standardschriftart"/>
    <w:uiPriority w:val="99"/>
    <w:rsid w:val="00F807F1"/>
    <w:rPr>
      <w:rFonts w:cs="Times New Roman"/>
    </w:rPr>
  </w:style>
  <w:style w:type="character" w:customStyle="1" w:styleId="longtext">
    <w:name w:val="long_text"/>
    <w:basedOn w:val="Absatz-Standardschriftart"/>
    <w:uiPriority w:val="99"/>
    <w:rsid w:val="009A128B"/>
    <w:rPr>
      <w:rFonts w:cs="Times New Roman"/>
    </w:rPr>
  </w:style>
  <w:style w:type="character" w:customStyle="1" w:styleId="hps">
    <w:name w:val="hps"/>
    <w:basedOn w:val="Absatz-Standardschriftart"/>
    <w:uiPriority w:val="99"/>
    <w:rsid w:val="008B22E2"/>
    <w:rPr>
      <w:rFonts w:cs="Times New Roman"/>
    </w:rPr>
  </w:style>
  <w:style w:type="character" w:customStyle="1" w:styleId="hpsatn">
    <w:name w:val="hps atn"/>
    <w:basedOn w:val="Absatz-Standardschriftart"/>
    <w:uiPriority w:val="99"/>
    <w:rsid w:val="008B22E2"/>
    <w:rPr>
      <w:rFonts w:cs="Times New Roman"/>
    </w:rPr>
  </w:style>
  <w:style w:type="character" w:customStyle="1" w:styleId="atn">
    <w:name w:val="atn"/>
    <w:basedOn w:val="Absatz-Standardschriftart"/>
    <w:uiPriority w:val="99"/>
    <w:rsid w:val="00640BA8"/>
    <w:rPr>
      <w:rFonts w:cs="Times New Roman"/>
    </w:rPr>
  </w:style>
  <w:style w:type="table" w:styleId="HelleListe-Akzent3">
    <w:name w:val="Light List Accent 3"/>
    <w:basedOn w:val="NormaleTabelle"/>
    <w:uiPriority w:val="99"/>
    <w:rsid w:val="00326D9A"/>
    <w:rPr>
      <w:rFonts w:ascii="Times New Roman" w:eastAsia="Times New Roman" w:hAnsi="Times New Roman"/>
      <w:sz w:val="20"/>
      <w:szCs w:val="2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11">
    <w:name w:val="Light List - Accent 11"/>
    <w:uiPriority w:val="99"/>
    <w:rsid w:val="00326D9A"/>
    <w:rPr>
      <w:sz w:val="20"/>
      <w:szCs w:val="20"/>
      <w:lang w:val="de-DE" w:eastAsia="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HelleSchattierung-Akzent5">
    <w:name w:val="Light Shading Accent 5"/>
    <w:basedOn w:val="NormaleTabelle"/>
    <w:uiPriority w:val="99"/>
    <w:rsid w:val="0049644D"/>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HelleSchattierung-Akzent4">
    <w:name w:val="Light Shading Accent 4"/>
    <w:basedOn w:val="NormaleTabelle"/>
    <w:uiPriority w:val="99"/>
    <w:rsid w:val="0049644D"/>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Shading-Accent11">
    <w:name w:val="Light Shading - Accent 11"/>
    <w:uiPriority w:val="99"/>
    <w:rsid w:val="0049644D"/>
    <w:rPr>
      <w:color w:val="365F91"/>
      <w:sz w:val="20"/>
      <w:szCs w:val="20"/>
      <w:lang w:val="de-DE" w:eastAsia="de-D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Shading1">
    <w:name w:val="Light Shading1"/>
    <w:uiPriority w:val="99"/>
    <w:rsid w:val="0049644D"/>
    <w:rPr>
      <w:color w:val="000000"/>
      <w:sz w:val="20"/>
      <w:szCs w:val="20"/>
      <w:lang w:val="de-DE" w:eastAsia="de-D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List-Accent111">
    <w:name w:val="Light List - Accent 111"/>
    <w:uiPriority w:val="99"/>
    <w:rsid w:val="00D87D87"/>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1">
    <w:name w:val="Light Shading - Accent 111"/>
    <w:uiPriority w:val="99"/>
    <w:rsid w:val="00D87D87"/>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11">
    <w:name w:val="Light Shading11"/>
    <w:uiPriority w:val="99"/>
    <w:rsid w:val="00D87D87"/>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746FC4"/>
    <w:pPr>
      <w:autoSpaceDE w:val="0"/>
      <w:autoSpaceDN w:val="0"/>
      <w:adjustRightInd w:val="0"/>
    </w:pPr>
    <w:rPr>
      <w:rFonts w:ascii="Times New Roman" w:hAnsi="Times New Roman"/>
      <w:color w:val="000000"/>
      <w:sz w:val="24"/>
      <w:szCs w:val="24"/>
      <w:lang w:val="de-DE"/>
    </w:rPr>
  </w:style>
  <w:style w:type="numbering" w:customStyle="1" w:styleId="FormatvorlageNummerierteListeLateinTrebuchetMS11ptFettBenutz">
    <w:name w:val="Formatvorlage Nummerierte Liste (Latein) Trebuchet MS 11 pt Fett Benutz..."/>
    <w:rsid w:val="006C070B"/>
    <w:pPr>
      <w:numPr>
        <w:numId w:val="1"/>
      </w:numPr>
    </w:pPr>
  </w:style>
  <w:style w:type="character" w:styleId="Platzhaltertext">
    <w:name w:val="Placeholder Text"/>
    <w:basedOn w:val="Absatz-Standardschriftart"/>
    <w:uiPriority w:val="99"/>
    <w:semiHidden/>
    <w:rsid w:val="00E15035"/>
    <w:rPr>
      <w:color w:val="808080"/>
    </w:rPr>
  </w:style>
  <w:style w:type="character" w:styleId="Hervorhebung">
    <w:name w:val="Emphasis"/>
    <w:basedOn w:val="Absatz-Standardschriftart"/>
    <w:uiPriority w:val="20"/>
    <w:qFormat/>
    <w:locked/>
    <w:rsid w:val="0083582D"/>
    <w:rPr>
      <w:i/>
      <w:iCs/>
    </w:rPr>
  </w:style>
  <w:style w:type="paragraph" w:styleId="Verzeichnis4">
    <w:name w:val="toc 4"/>
    <w:basedOn w:val="Standard"/>
    <w:next w:val="Standard"/>
    <w:autoRedefine/>
    <w:locked/>
    <w:rsid w:val="00060047"/>
    <w:pPr>
      <w:spacing w:after="0"/>
      <w:ind w:left="600"/>
      <w:jc w:val="left"/>
    </w:pPr>
    <w:rPr>
      <w:rFonts w:asciiTheme="minorHAnsi" w:hAnsiTheme="minorHAnsi" w:cstheme="minorHAnsi"/>
      <w:sz w:val="18"/>
      <w:szCs w:val="18"/>
    </w:rPr>
  </w:style>
  <w:style w:type="paragraph" w:styleId="Verzeichnis5">
    <w:name w:val="toc 5"/>
    <w:basedOn w:val="Standard"/>
    <w:next w:val="Standard"/>
    <w:autoRedefine/>
    <w:locked/>
    <w:rsid w:val="00060047"/>
    <w:pPr>
      <w:spacing w:after="0"/>
      <w:ind w:left="800"/>
      <w:jc w:val="left"/>
    </w:pPr>
    <w:rPr>
      <w:rFonts w:asciiTheme="minorHAnsi" w:hAnsiTheme="minorHAnsi" w:cstheme="minorHAnsi"/>
      <w:sz w:val="18"/>
      <w:szCs w:val="18"/>
    </w:rPr>
  </w:style>
  <w:style w:type="paragraph" w:styleId="Verzeichnis6">
    <w:name w:val="toc 6"/>
    <w:basedOn w:val="Standard"/>
    <w:next w:val="Standard"/>
    <w:autoRedefine/>
    <w:locked/>
    <w:rsid w:val="00060047"/>
    <w:pPr>
      <w:spacing w:after="0"/>
      <w:ind w:left="1000"/>
      <w:jc w:val="left"/>
    </w:pPr>
    <w:rPr>
      <w:rFonts w:asciiTheme="minorHAnsi" w:hAnsiTheme="minorHAnsi" w:cstheme="minorHAnsi"/>
      <w:sz w:val="18"/>
      <w:szCs w:val="18"/>
    </w:rPr>
  </w:style>
  <w:style w:type="paragraph" w:styleId="Verzeichnis7">
    <w:name w:val="toc 7"/>
    <w:basedOn w:val="Standard"/>
    <w:next w:val="Standard"/>
    <w:autoRedefine/>
    <w:locked/>
    <w:rsid w:val="00060047"/>
    <w:pPr>
      <w:spacing w:after="0"/>
      <w:ind w:left="1200"/>
      <w:jc w:val="left"/>
    </w:pPr>
    <w:rPr>
      <w:rFonts w:asciiTheme="minorHAnsi" w:hAnsiTheme="minorHAnsi" w:cstheme="minorHAnsi"/>
      <w:sz w:val="18"/>
      <w:szCs w:val="18"/>
    </w:rPr>
  </w:style>
  <w:style w:type="paragraph" w:styleId="Verzeichnis8">
    <w:name w:val="toc 8"/>
    <w:basedOn w:val="Standard"/>
    <w:next w:val="Standard"/>
    <w:autoRedefine/>
    <w:locked/>
    <w:rsid w:val="00060047"/>
    <w:pPr>
      <w:spacing w:after="0"/>
      <w:ind w:left="1400"/>
      <w:jc w:val="left"/>
    </w:pPr>
    <w:rPr>
      <w:rFonts w:asciiTheme="minorHAnsi" w:hAnsiTheme="minorHAnsi" w:cstheme="minorHAnsi"/>
      <w:sz w:val="18"/>
      <w:szCs w:val="18"/>
    </w:rPr>
  </w:style>
  <w:style w:type="paragraph" w:styleId="Verzeichnis9">
    <w:name w:val="toc 9"/>
    <w:basedOn w:val="Standard"/>
    <w:next w:val="Standard"/>
    <w:autoRedefine/>
    <w:locked/>
    <w:rsid w:val="00060047"/>
    <w:pPr>
      <w:spacing w:after="0"/>
      <w:ind w:left="1600"/>
      <w:jc w:val="left"/>
    </w:pPr>
    <w:rPr>
      <w:rFonts w:asciiTheme="minorHAnsi" w:hAnsiTheme="minorHAnsi" w:cstheme="minorHAnsi"/>
      <w:sz w:val="18"/>
      <w:szCs w:val="18"/>
    </w:rPr>
  </w:style>
  <w:style w:type="paragraph" w:customStyle="1" w:styleId="SDMMethEquation">
    <w:name w:val="SDMMethEquation"/>
    <w:basedOn w:val="Standard"/>
    <w:qFormat/>
    <w:rsid w:val="00A9167B"/>
    <w:pPr>
      <w:keepLines/>
      <w:spacing w:before="360" w:line="360" w:lineRule="auto"/>
    </w:pPr>
    <w:rPr>
      <w:rFonts w:cs="Arial"/>
      <w:sz w:val="22"/>
      <w:szCs w:val="22"/>
    </w:rPr>
  </w:style>
  <w:style w:type="table" w:customStyle="1" w:styleId="SDMMethTableEquation">
    <w:name w:val="SDMMethTableEquation"/>
    <w:basedOn w:val="NormaleTabelle"/>
    <w:uiPriority w:val="99"/>
    <w:rsid w:val="00A9167B"/>
    <w:rPr>
      <w:rFonts w:ascii="Arial" w:eastAsia="Times New Roman" w:hAnsi="Arial"/>
      <w:szCs w:val="20"/>
      <w:lang w:val="en-GB" w:eastAsia="en-GB"/>
    </w:rPr>
    <w:tblPr>
      <w:tblInd w:w="680" w:type="dxa"/>
    </w:tblPr>
    <w:trPr>
      <w:cantSplit/>
    </w:trPr>
  </w:style>
  <w:style w:type="paragraph" w:customStyle="1" w:styleId="SDMMethEquationNr">
    <w:name w:val="SDMMethEquationNr"/>
    <w:basedOn w:val="SDMMethEquation"/>
    <w:qFormat/>
    <w:rsid w:val="00A9167B"/>
    <w:pPr>
      <w:keepNext/>
      <w:numPr>
        <w:numId w:val="3"/>
      </w:numPr>
      <w:jc w:val="right"/>
    </w:pPr>
    <w:rPr>
      <w:sz w:val="20"/>
    </w:rPr>
  </w:style>
  <w:style w:type="table" w:customStyle="1" w:styleId="SDMMethTableEquationParameters">
    <w:name w:val="SDMMethTableEquationParameters"/>
    <w:basedOn w:val="NormaleTabelle"/>
    <w:uiPriority w:val="99"/>
    <w:rsid w:val="00A9167B"/>
    <w:rPr>
      <w:rFonts w:ascii="Arial" w:eastAsia="Times New Roman" w:hAnsi="Arial"/>
      <w:szCs w:val="20"/>
      <w:lang w:val="en-GB" w:eastAsia="en-GB"/>
    </w:rPr>
    <w:tblPr>
      <w:tblInd w:w="680" w:type="dxa"/>
      <w:tblCellMar>
        <w:top w:w="85" w:type="dxa"/>
        <w:bottom w:w="28" w:type="dxa"/>
      </w:tblCellMar>
    </w:tblPr>
    <w:trPr>
      <w:cantSplit/>
    </w:trPr>
    <w:tcPr>
      <w:vAlign w:val="center"/>
    </w:tcPr>
  </w:style>
  <w:style w:type="paragraph" w:customStyle="1" w:styleId="SDMMethCaptionEquationParametersTable">
    <w:name w:val="SDMMethCaptionEquationParametersTable"/>
    <w:basedOn w:val="Beschriftung"/>
    <w:qFormat/>
    <w:rsid w:val="00A9167B"/>
    <w:pPr>
      <w:keepLines/>
      <w:tabs>
        <w:tab w:val="left" w:pos="1134"/>
        <w:tab w:val="left" w:pos="1956"/>
        <w:tab w:val="left" w:pos="2126"/>
        <w:tab w:val="left" w:pos="2693"/>
        <w:tab w:val="left" w:pos="3260"/>
      </w:tabs>
      <w:spacing w:before="180" w:line="240" w:lineRule="auto"/>
      <w:ind w:left="1956" w:hanging="1247"/>
    </w:pPr>
    <w:rPr>
      <w:b w:val="0"/>
      <w:sz w:val="22"/>
    </w:rPr>
  </w:style>
  <w:style w:type="paragraph" w:customStyle="1" w:styleId="SDMTableBoxParaNotNumbered">
    <w:name w:val="SDMTable&amp;BoxParaNotNumbered"/>
    <w:basedOn w:val="Standard"/>
    <w:qFormat/>
    <w:rsid w:val="00A9167B"/>
    <w:pPr>
      <w:spacing w:line="240" w:lineRule="auto"/>
    </w:pPr>
  </w:style>
  <w:style w:type="paragraph" w:customStyle="1" w:styleId="SDMPara">
    <w:name w:val="SDMPara"/>
    <w:basedOn w:val="Standard"/>
    <w:rsid w:val="00A9167B"/>
    <w:pPr>
      <w:numPr>
        <w:numId w:val="5"/>
      </w:numPr>
      <w:spacing w:before="180" w:line="240" w:lineRule="auto"/>
    </w:pPr>
    <w:rPr>
      <w:rFonts w:cs="Arial"/>
      <w:sz w:val="22"/>
      <w:szCs w:val="22"/>
    </w:rPr>
  </w:style>
  <w:style w:type="paragraph" w:customStyle="1" w:styleId="SDMSubPara1">
    <w:name w:val="SDMSubPara1"/>
    <w:basedOn w:val="Standard"/>
    <w:rsid w:val="00A9167B"/>
    <w:pPr>
      <w:numPr>
        <w:ilvl w:val="1"/>
        <w:numId w:val="5"/>
      </w:numPr>
      <w:spacing w:before="180" w:line="240" w:lineRule="auto"/>
    </w:pPr>
    <w:rPr>
      <w:rFonts w:cs="Arial"/>
      <w:sz w:val="22"/>
      <w:szCs w:val="22"/>
    </w:rPr>
  </w:style>
  <w:style w:type="paragraph" w:customStyle="1" w:styleId="SDMSubPara2">
    <w:name w:val="SDMSubPara2"/>
    <w:basedOn w:val="Standard"/>
    <w:rsid w:val="00A9167B"/>
    <w:pPr>
      <w:numPr>
        <w:ilvl w:val="2"/>
        <w:numId w:val="5"/>
      </w:numPr>
      <w:spacing w:before="180" w:line="240" w:lineRule="auto"/>
    </w:pPr>
    <w:rPr>
      <w:rFonts w:cs="Arial"/>
      <w:sz w:val="22"/>
      <w:szCs w:val="22"/>
    </w:rPr>
  </w:style>
  <w:style w:type="paragraph" w:customStyle="1" w:styleId="SDMSubPara3">
    <w:name w:val="SDMSubPara3"/>
    <w:basedOn w:val="Standard"/>
    <w:rsid w:val="00A9167B"/>
    <w:pPr>
      <w:numPr>
        <w:ilvl w:val="3"/>
        <w:numId w:val="5"/>
      </w:numPr>
      <w:spacing w:before="180" w:line="240" w:lineRule="auto"/>
      <w:ind w:left="2721" w:hanging="595"/>
    </w:pPr>
    <w:rPr>
      <w:sz w:val="22"/>
    </w:rPr>
  </w:style>
  <w:style w:type="paragraph" w:customStyle="1" w:styleId="SDMSubPara4">
    <w:name w:val="SDMSubPara4"/>
    <w:basedOn w:val="Standard"/>
    <w:rsid w:val="00A9167B"/>
    <w:pPr>
      <w:numPr>
        <w:ilvl w:val="4"/>
        <w:numId w:val="5"/>
      </w:numPr>
      <w:spacing w:before="180" w:line="240" w:lineRule="auto"/>
    </w:pPr>
    <w:rPr>
      <w:sz w:val="22"/>
    </w:rPr>
  </w:style>
  <w:style w:type="numbering" w:customStyle="1" w:styleId="SDMParaList">
    <w:name w:val="SDMParaList"/>
    <w:rsid w:val="00A9167B"/>
    <w:pPr>
      <w:numPr>
        <w:numId w:val="4"/>
      </w:numPr>
    </w:pPr>
  </w:style>
  <w:style w:type="paragraph" w:customStyle="1" w:styleId="RegPara">
    <w:name w:val="RegPara"/>
    <w:basedOn w:val="Standard"/>
    <w:link w:val="RegParaChar"/>
    <w:rsid w:val="00A9167B"/>
    <w:pPr>
      <w:tabs>
        <w:tab w:val="num" w:pos="360"/>
      </w:tabs>
      <w:spacing w:before="180" w:line="240" w:lineRule="auto"/>
      <w:ind w:left="360" w:hanging="360"/>
    </w:pPr>
    <w:rPr>
      <w:rFonts w:ascii="Times New Roman" w:eastAsia="MS Mincho" w:hAnsi="Times New Roman"/>
      <w:sz w:val="22"/>
      <w:szCs w:val="24"/>
      <w:lang w:eastAsia="ja-JP"/>
    </w:rPr>
  </w:style>
  <w:style w:type="character" w:customStyle="1" w:styleId="RegParaChar">
    <w:name w:val="RegPara Char"/>
    <w:link w:val="RegPara"/>
    <w:locked/>
    <w:rsid w:val="00A9167B"/>
    <w:rPr>
      <w:rFonts w:ascii="Times New Roman" w:eastAsia="MS Mincho" w:hAnsi="Times New Roman"/>
      <w:szCs w:val="24"/>
      <w:lang w:eastAsia="ja-JP"/>
    </w:rPr>
  </w:style>
  <w:style w:type="paragraph" w:styleId="berarbeitung">
    <w:name w:val="Revision"/>
    <w:hidden/>
    <w:uiPriority w:val="99"/>
    <w:semiHidden/>
    <w:rsid w:val="003E5192"/>
    <w:rPr>
      <w:rFonts w:ascii="Arial" w:eastAsia="Times New Roman" w:hAnsi="Arial"/>
      <w:sz w:val="20"/>
      <w:szCs w:val="20"/>
      <w:lang w:val="en-GB" w:eastAsia="de-DE"/>
    </w:rPr>
  </w:style>
  <w:style w:type="paragraph" w:customStyle="1" w:styleId="HeadernotIndex">
    <w:name w:val="Header_not_Index"/>
    <w:basedOn w:val="berschrift2"/>
    <w:rsid w:val="00345E8F"/>
    <w:pPr>
      <w:numPr>
        <w:ilvl w:val="0"/>
        <w:numId w:val="0"/>
      </w:numPr>
      <w:ind w:left="360"/>
    </w:pPr>
    <w:rPr>
      <w:rFonts w:eastAsia="Times"/>
    </w:rPr>
  </w:style>
  <w:style w:type="paragraph" w:styleId="Abbildungsverzeichnis">
    <w:name w:val="table of figures"/>
    <w:basedOn w:val="Standard"/>
    <w:next w:val="Standard"/>
    <w:uiPriority w:val="99"/>
    <w:unhideWhenUsed/>
    <w:rsid w:val="00A1329E"/>
    <w:pPr>
      <w:ind w:left="400" w:hanging="400"/>
    </w:pPr>
  </w:style>
  <w:style w:type="paragraph" w:styleId="Titel">
    <w:name w:val="Title"/>
    <w:basedOn w:val="Standard"/>
    <w:next w:val="Standard"/>
    <w:link w:val="TitelZchn"/>
    <w:qFormat/>
    <w:locked/>
    <w:rsid w:val="00A27568"/>
    <w:rPr>
      <w:rFonts w:cs="Trebuchet MS"/>
      <w:color w:val="000080"/>
      <w:sz w:val="40"/>
      <w:szCs w:val="40"/>
    </w:rPr>
  </w:style>
  <w:style w:type="character" w:customStyle="1" w:styleId="TitelZchn">
    <w:name w:val="Titel Zchn"/>
    <w:basedOn w:val="Absatz-Standardschriftart"/>
    <w:link w:val="Titel"/>
    <w:rsid w:val="00A27568"/>
    <w:rPr>
      <w:rFonts w:ascii="Arial" w:eastAsia="Times New Roman" w:hAnsi="Arial" w:cs="Trebuchet MS"/>
      <w:color w:val="000080"/>
      <w:sz w:val="40"/>
      <w:szCs w:val="40"/>
      <w:lang w:eastAsia="de-DE"/>
    </w:rPr>
  </w:style>
  <w:style w:type="paragraph" w:styleId="Untertitel">
    <w:name w:val="Subtitle"/>
    <w:basedOn w:val="Standard"/>
    <w:next w:val="Standard"/>
    <w:link w:val="UntertitelZchn"/>
    <w:qFormat/>
    <w:locked/>
    <w:rsid w:val="00A27568"/>
    <w:rPr>
      <w:rFonts w:cs="Trebuchet MS"/>
      <w:color w:val="000080"/>
      <w:sz w:val="28"/>
      <w:szCs w:val="40"/>
    </w:rPr>
  </w:style>
  <w:style w:type="character" w:customStyle="1" w:styleId="UntertitelZchn">
    <w:name w:val="Untertitel Zchn"/>
    <w:basedOn w:val="Absatz-Standardschriftart"/>
    <w:link w:val="Untertitel"/>
    <w:rsid w:val="00A27568"/>
    <w:rPr>
      <w:rFonts w:ascii="Arial" w:eastAsia="Times New Roman" w:hAnsi="Arial" w:cs="Trebuchet MS"/>
      <w:color w:val="000080"/>
      <w:sz w:val="28"/>
      <w:szCs w:val="40"/>
      <w:lang w:eastAsia="de-DE"/>
    </w:rPr>
  </w:style>
  <w:style w:type="paragraph" w:customStyle="1" w:styleId="xmsonormal">
    <w:name w:val="x_msonormal"/>
    <w:basedOn w:val="Standard"/>
    <w:rsid w:val="008E34E3"/>
    <w:pPr>
      <w:spacing w:after="0" w:line="240" w:lineRule="auto"/>
      <w:jc w:val="left"/>
    </w:pPr>
    <w:rPr>
      <w:rFonts w:ascii="Calibri" w:eastAsiaTheme="minorHAnsi" w:hAnsi="Calibri" w:cs="Calibri"/>
      <w:sz w:val="22"/>
      <w:szCs w:val="22"/>
      <w:lang w:val="de-DE"/>
    </w:rPr>
  </w:style>
  <w:style w:type="table" w:styleId="Gitternetztabelle4Akzent1">
    <w:name w:val="Grid Table 4 Accent 1"/>
    <w:basedOn w:val="NormaleTabelle"/>
    <w:uiPriority w:val="49"/>
    <w:rsid w:val="008E34E3"/>
    <w:rPr>
      <w:rFonts w:asciiTheme="minorHAnsi" w:eastAsiaTheme="minorHAnsi" w:hAnsiTheme="minorHAnsi" w:cstheme="minorBidi"/>
      <w:lang w:val="de-D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EinfacheTabelle1">
    <w:name w:val="Plain Table 1"/>
    <w:basedOn w:val="NormaleTabelle"/>
    <w:uiPriority w:val="41"/>
    <w:rsid w:val="00EE1E94"/>
    <w:rPr>
      <w:rFonts w:asciiTheme="minorHAnsi" w:eastAsiaTheme="minorHAnsi" w:hAnsiTheme="minorHAnsi" w:cstheme="minorBidi"/>
      <w:lang w:val="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
    <w:name w:val="Grid Table 2"/>
    <w:basedOn w:val="NormaleTabelle"/>
    <w:uiPriority w:val="47"/>
    <w:rsid w:val="00E574A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rsid w:val="00E574A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5dunkelAkzent1">
    <w:name w:val="Grid Table 5 Dark Accent 1"/>
    <w:basedOn w:val="NormaleTabelle"/>
    <w:uiPriority w:val="50"/>
    <w:rsid w:val="00566C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NichtaufgelsteErwhnung1">
    <w:name w:val="Nicht aufgelöste Erwähnung1"/>
    <w:basedOn w:val="Absatz-Standardschriftart"/>
    <w:uiPriority w:val="99"/>
    <w:semiHidden/>
    <w:unhideWhenUsed/>
    <w:rsid w:val="009A322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E02FC"/>
    <w:rPr>
      <w:color w:val="605E5C"/>
      <w:shd w:val="clear" w:color="auto" w:fill="E1DFDD"/>
    </w:rPr>
  </w:style>
  <w:style w:type="numbering" w:customStyle="1" w:styleId="Formatvorlage1">
    <w:name w:val="Formatvorlage1"/>
    <w:uiPriority w:val="99"/>
    <w:rsid w:val="001A7ADD"/>
    <w:pPr>
      <w:numPr>
        <w:numId w:val="6"/>
      </w:numPr>
    </w:pPr>
  </w:style>
  <w:style w:type="numbering" w:customStyle="1" w:styleId="Formatvorlage2">
    <w:name w:val="Formatvorlage2"/>
    <w:uiPriority w:val="99"/>
    <w:rsid w:val="001A7ADD"/>
    <w:pPr>
      <w:numPr>
        <w:numId w:val="7"/>
      </w:numPr>
    </w:pPr>
  </w:style>
  <w:style w:type="numbering" w:customStyle="1" w:styleId="Formatvorlage3">
    <w:name w:val="Formatvorlage3"/>
    <w:uiPriority w:val="99"/>
    <w:rsid w:val="001A7ADD"/>
    <w:pPr>
      <w:numPr>
        <w:numId w:val="8"/>
      </w:numPr>
    </w:pPr>
  </w:style>
  <w:style w:type="paragraph" w:styleId="Aufzhlungszeichen">
    <w:name w:val="List Bullet"/>
    <w:basedOn w:val="Standard"/>
    <w:uiPriority w:val="99"/>
    <w:unhideWhenUsed/>
    <w:rsid w:val="0023314F"/>
    <w:pPr>
      <w:numPr>
        <w:numId w:val="10"/>
      </w:numPr>
      <w:contextualSpacing/>
    </w:pPr>
  </w:style>
  <w:style w:type="character" w:customStyle="1" w:styleId="highwire-citation-author">
    <w:name w:val="highwire-citation-author"/>
    <w:basedOn w:val="Absatz-Standardschriftart"/>
    <w:rsid w:val="00A135A8"/>
  </w:style>
  <w:style w:type="character" w:customStyle="1" w:styleId="Titel1">
    <w:name w:val="Titel1"/>
    <w:basedOn w:val="Absatz-Standardschriftart"/>
    <w:rsid w:val="00A135A8"/>
  </w:style>
  <w:style w:type="paragraph" w:customStyle="1" w:styleId="contributor">
    <w:name w:val="contributor"/>
    <w:basedOn w:val="Standard"/>
    <w:rsid w:val="00EA46A2"/>
    <w:pPr>
      <w:spacing w:before="100" w:beforeAutospacing="1" w:after="100" w:afterAutospacing="1" w:line="240" w:lineRule="auto"/>
      <w:jc w:val="left"/>
    </w:pPr>
    <w:rPr>
      <w:rFonts w:ascii="Times New Roman" w:hAnsi="Times New Roman"/>
      <w:sz w:val="24"/>
      <w:szCs w:val="24"/>
      <w:lang w:eastAsia="en-US"/>
    </w:rPr>
  </w:style>
  <w:style w:type="character" w:customStyle="1" w:styleId="name">
    <w:name w:val="name"/>
    <w:basedOn w:val="Absatz-Standardschriftart"/>
    <w:rsid w:val="00EA46A2"/>
  </w:style>
  <w:style w:type="character" w:customStyle="1" w:styleId="xref-sep">
    <w:name w:val="xref-sep"/>
    <w:basedOn w:val="Absatz-Standardschriftart"/>
    <w:rsid w:val="00EA46A2"/>
  </w:style>
  <w:style w:type="paragraph" w:customStyle="1" w:styleId="last">
    <w:name w:val="last"/>
    <w:basedOn w:val="Standard"/>
    <w:rsid w:val="00EA46A2"/>
    <w:pPr>
      <w:spacing w:before="100" w:beforeAutospacing="1" w:after="100" w:afterAutospacing="1" w:line="240" w:lineRule="auto"/>
      <w:jc w:val="left"/>
    </w:pPr>
    <w:rPr>
      <w:rFonts w:ascii="Times New Roman" w:hAnsi="Times New Roman"/>
      <w:sz w:val="24"/>
      <w:szCs w:val="24"/>
      <w:lang w:eastAsia="en-US"/>
    </w:rPr>
  </w:style>
  <w:style w:type="paragraph" w:customStyle="1" w:styleId="c-article-author-listitem">
    <w:name w:val="c-article-author-list__item"/>
    <w:basedOn w:val="Standard"/>
    <w:rsid w:val="00BF153E"/>
    <w:pPr>
      <w:spacing w:before="100" w:beforeAutospacing="1" w:after="100" w:afterAutospacing="1" w:line="240" w:lineRule="auto"/>
      <w:jc w:val="left"/>
    </w:pPr>
    <w:rPr>
      <w:rFonts w:ascii="Times New Roman" w:hAnsi="Times New Roman"/>
      <w:sz w:val="24"/>
      <w:szCs w:val="24"/>
      <w:lang w:eastAsia="en-US"/>
    </w:rPr>
  </w:style>
  <w:style w:type="character" w:customStyle="1" w:styleId="italic">
    <w:name w:val="italic"/>
    <w:basedOn w:val="Absatz-Standardschriftart"/>
    <w:rsid w:val="001274B2"/>
  </w:style>
  <w:style w:type="paragraph" w:styleId="Zitat">
    <w:name w:val="Quote"/>
    <w:basedOn w:val="Standard"/>
    <w:next w:val="Standard"/>
    <w:link w:val="ZitatZchn"/>
    <w:uiPriority w:val="29"/>
    <w:qFormat/>
    <w:rsid w:val="001274B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274B2"/>
    <w:rPr>
      <w:rFonts w:ascii="Arial" w:eastAsia="Times New Roman" w:hAnsi="Arial"/>
      <w:i/>
      <w:iCs/>
      <w:color w:val="404040" w:themeColor="text1" w:themeTint="BF"/>
      <w:sz w:val="20"/>
      <w:szCs w:val="20"/>
      <w:lang w:eastAsia="de-DE"/>
    </w:rPr>
  </w:style>
  <w:style w:type="table" w:styleId="Listentabelle3Akzent1">
    <w:name w:val="List Table 3 Accent 1"/>
    <w:basedOn w:val="NormaleTabelle"/>
    <w:uiPriority w:val="48"/>
    <w:rsid w:val="001E07C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4">
    <w:name w:val="List Table 4"/>
    <w:basedOn w:val="NormaleTabelle"/>
    <w:uiPriority w:val="49"/>
    <w:rsid w:val="001E07C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1E07C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teraturverzeichnis">
    <w:name w:val="Bibliography"/>
    <w:basedOn w:val="Standard"/>
    <w:next w:val="Standard"/>
    <w:uiPriority w:val="37"/>
    <w:semiHidden/>
    <w:unhideWhenUsed/>
    <w:rsid w:val="00E136A1"/>
  </w:style>
  <w:style w:type="character" w:styleId="NichtaufgelsteErwhnung">
    <w:name w:val="Unresolved Mention"/>
    <w:basedOn w:val="Absatz-Standardschriftart"/>
    <w:uiPriority w:val="99"/>
    <w:semiHidden/>
    <w:unhideWhenUsed/>
    <w:rsid w:val="00FE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0606">
      <w:bodyDiv w:val="1"/>
      <w:marLeft w:val="0"/>
      <w:marRight w:val="0"/>
      <w:marTop w:val="0"/>
      <w:marBottom w:val="0"/>
      <w:divBdr>
        <w:top w:val="none" w:sz="0" w:space="0" w:color="auto"/>
        <w:left w:val="none" w:sz="0" w:space="0" w:color="auto"/>
        <w:bottom w:val="none" w:sz="0" w:space="0" w:color="auto"/>
        <w:right w:val="none" w:sz="0" w:space="0" w:color="auto"/>
      </w:divBdr>
    </w:div>
    <w:div w:id="24255508">
      <w:bodyDiv w:val="1"/>
      <w:marLeft w:val="0"/>
      <w:marRight w:val="0"/>
      <w:marTop w:val="0"/>
      <w:marBottom w:val="0"/>
      <w:divBdr>
        <w:top w:val="none" w:sz="0" w:space="0" w:color="auto"/>
        <w:left w:val="none" w:sz="0" w:space="0" w:color="auto"/>
        <w:bottom w:val="none" w:sz="0" w:space="0" w:color="auto"/>
        <w:right w:val="none" w:sz="0" w:space="0" w:color="auto"/>
      </w:divBdr>
    </w:div>
    <w:div w:id="32124173">
      <w:bodyDiv w:val="1"/>
      <w:marLeft w:val="0"/>
      <w:marRight w:val="0"/>
      <w:marTop w:val="0"/>
      <w:marBottom w:val="0"/>
      <w:divBdr>
        <w:top w:val="none" w:sz="0" w:space="0" w:color="auto"/>
        <w:left w:val="none" w:sz="0" w:space="0" w:color="auto"/>
        <w:bottom w:val="none" w:sz="0" w:space="0" w:color="auto"/>
        <w:right w:val="none" w:sz="0" w:space="0" w:color="auto"/>
      </w:divBdr>
    </w:div>
    <w:div w:id="36778932">
      <w:bodyDiv w:val="1"/>
      <w:marLeft w:val="0"/>
      <w:marRight w:val="0"/>
      <w:marTop w:val="0"/>
      <w:marBottom w:val="0"/>
      <w:divBdr>
        <w:top w:val="none" w:sz="0" w:space="0" w:color="auto"/>
        <w:left w:val="none" w:sz="0" w:space="0" w:color="auto"/>
        <w:bottom w:val="none" w:sz="0" w:space="0" w:color="auto"/>
        <w:right w:val="none" w:sz="0" w:space="0" w:color="auto"/>
      </w:divBdr>
    </w:div>
    <w:div w:id="52583655">
      <w:bodyDiv w:val="1"/>
      <w:marLeft w:val="0"/>
      <w:marRight w:val="0"/>
      <w:marTop w:val="0"/>
      <w:marBottom w:val="0"/>
      <w:divBdr>
        <w:top w:val="none" w:sz="0" w:space="0" w:color="auto"/>
        <w:left w:val="none" w:sz="0" w:space="0" w:color="auto"/>
        <w:bottom w:val="none" w:sz="0" w:space="0" w:color="auto"/>
        <w:right w:val="none" w:sz="0" w:space="0" w:color="auto"/>
      </w:divBdr>
    </w:div>
    <w:div w:id="82726954">
      <w:bodyDiv w:val="1"/>
      <w:marLeft w:val="0"/>
      <w:marRight w:val="0"/>
      <w:marTop w:val="0"/>
      <w:marBottom w:val="0"/>
      <w:divBdr>
        <w:top w:val="none" w:sz="0" w:space="0" w:color="auto"/>
        <w:left w:val="none" w:sz="0" w:space="0" w:color="auto"/>
        <w:bottom w:val="none" w:sz="0" w:space="0" w:color="auto"/>
        <w:right w:val="none" w:sz="0" w:space="0" w:color="auto"/>
      </w:divBdr>
    </w:div>
    <w:div w:id="107745930">
      <w:bodyDiv w:val="1"/>
      <w:marLeft w:val="0"/>
      <w:marRight w:val="0"/>
      <w:marTop w:val="0"/>
      <w:marBottom w:val="0"/>
      <w:divBdr>
        <w:top w:val="none" w:sz="0" w:space="0" w:color="auto"/>
        <w:left w:val="none" w:sz="0" w:space="0" w:color="auto"/>
        <w:bottom w:val="none" w:sz="0" w:space="0" w:color="auto"/>
        <w:right w:val="none" w:sz="0" w:space="0" w:color="auto"/>
      </w:divBdr>
      <w:divsChild>
        <w:div w:id="1350519653">
          <w:marLeft w:val="0"/>
          <w:marRight w:val="0"/>
          <w:marTop w:val="0"/>
          <w:marBottom w:val="0"/>
          <w:divBdr>
            <w:top w:val="none" w:sz="0" w:space="0" w:color="auto"/>
            <w:left w:val="none" w:sz="0" w:space="0" w:color="auto"/>
            <w:bottom w:val="none" w:sz="0" w:space="0" w:color="auto"/>
            <w:right w:val="none" w:sz="0" w:space="0" w:color="auto"/>
          </w:divBdr>
          <w:divsChild>
            <w:div w:id="1922791084">
              <w:marLeft w:val="0"/>
              <w:marRight w:val="0"/>
              <w:marTop w:val="0"/>
              <w:marBottom w:val="0"/>
              <w:divBdr>
                <w:top w:val="none" w:sz="0" w:space="0" w:color="auto"/>
                <w:left w:val="none" w:sz="0" w:space="0" w:color="auto"/>
                <w:bottom w:val="none" w:sz="0" w:space="0" w:color="auto"/>
                <w:right w:val="none" w:sz="0" w:space="0" w:color="auto"/>
              </w:divBdr>
              <w:divsChild>
                <w:div w:id="4187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67794">
      <w:bodyDiv w:val="1"/>
      <w:marLeft w:val="0"/>
      <w:marRight w:val="0"/>
      <w:marTop w:val="0"/>
      <w:marBottom w:val="0"/>
      <w:divBdr>
        <w:top w:val="none" w:sz="0" w:space="0" w:color="auto"/>
        <w:left w:val="none" w:sz="0" w:space="0" w:color="auto"/>
        <w:bottom w:val="none" w:sz="0" w:space="0" w:color="auto"/>
        <w:right w:val="none" w:sz="0" w:space="0" w:color="auto"/>
      </w:divBdr>
    </w:div>
    <w:div w:id="161816923">
      <w:bodyDiv w:val="1"/>
      <w:marLeft w:val="0"/>
      <w:marRight w:val="0"/>
      <w:marTop w:val="0"/>
      <w:marBottom w:val="0"/>
      <w:divBdr>
        <w:top w:val="none" w:sz="0" w:space="0" w:color="auto"/>
        <w:left w:val="none" w:sz="0" w:space="0" w:color="auto"/>
        <w:bottom w:val="none" w:sz="0" w:space="0" w:color="auto"/>
        <w:right w:val="none" w:sz="0" w:space="0" w:color="auto"/>
      </w:divBdr>
      <w:divsChild>
        <w:div w:id="814107739">
          <w:marLeft w:val="547"/>
          <w:marRight w:val="0"/>
          <w:marTop w:val="0"/>
          <w:marBottom w:val="0"/>
          <w:divBdr>
            <w:top w:val="none" w:sz="0" w:space="0" w:color="auto"/>
            <w:left w:val="none" w:sz="0" w:space="0" w:color="auto"/>
            <w:bottom w:val="none" w:sz="0" w:space="0" w:color="auto"/>
            <w:right w:val="none" w:sz="0" w:space="0" w:color="auto"/>
          </w:divBdr>
        </w:div>
        <w:div w:id="1567182612">
          <w:marLeft w:val="547"/>
          <w:marRight w:val="0"/>
          <w:marTop w:val="0"/>
          <w:marBottom w:val="0"/>
          <w:divBdr>
            <w:top w:val="none" w:sz="0" w:space="0" w:color="auto"/>
            <w:left w:val="none" w:sz="0" w:space="0" w:color="auto"/>
            <w:bottom w:val="none" w:sz="0" w:space="0" w:color="auto"/>
            <w:right w:val="none" w:sz="0" w:space="0" w:color="auto"/>
          </w:divBdr>
        </w:div>
        <w:div w:id="1333752237">
          <w:marLeft w:val="547"/>
          <w:marRight w:val="0"/>
          <w:marTop w:val="0"/>
          <w:marBottom w:val="0"/>
          <w:divBdr>
            <w:top w:val="none" w:sz="0" w:space="0" w:color="auto"/>
            <w:left w:val="none" w:sz="0" w:space="0" w:color="auto"/>
            <w:bottom w:val="none" w:sz="0" w:space="0" w:color="auto"/>
            <w:right w:val="none" w:sz="0" w:space="0" w:color="auto"/>
          </w:divBdr>
        </w:div>
        <w:div w:id="1819758030">
          <w:marLeft w:val="547"/>
          <w:marRight w:val="0"/>
          <w:marTop w:val="0"/>
          <w:marBottom w:val="0"/>
          <w:divBdr>
            <w:top w:val="none" w:sz="0" w:space="0" w:color="auto"/>
            <w:left w:val="none" w:sz="0" w:space="0" w:color="auto"/>
            <w:bottom w:val="none" w:sz="0" w:space="0" w:color="auto"/>
            <w:right w:val="none" w:sz="0" w:space="0" w:color="auto"/>
          </w:divBdr>
        </w:div>
        <w:div w:id="1032607640">
          <w:marLeft w:val="547"/>
          <w:marRight w:val="0"/>
          <w:marTop w:val="0"/>
          <w:marBottom w:val="0"/>
          <w:divBdr>
            <w:top w:val="none" w:sz="0" w:space="0" w:color="auto"/>
            <w:left w:val="none" w:sz="0" w:space="0" w:color="auto"/>
            <w:bottom w:val="none" w:sz="0" w:space="0" w:color="auto"/>
            <w:right w:val="none" w:sz="0" w:space="0" w:color="auto"/>
          </w:divBdr>
        </w:div>
        <w:div w:id="542981061">
          <w:marLeft w:val="547"/>
          <w:marRight w:val="0"/>
          <w:marTop w:val="0"/>
          <w:marBottom w:val="0"/>
          <w:divBdr>
            <w:top w:val="none" w:sz="0" w:space="0" w:color="auto"/>
            <w:left w:val="none" w:sz="0" w:space="0" w:color="auto"/>
            <w:bottom w:val="none" w:sz="0" w:space="0" w:color="auto"/>
            <w:right w:val="none" w:sz="0" w:space="0" w:color="auto"/>
          </w:divBdr>
        </w:div>
      </w:divsChild>
    </w:div>
    <w:div w:id="170145268">
      <w:bodyDiv w:val="1"/>
      <w:marLeft w:val="0"/>
      <w:marRight w:val="0"/>
      <w:marTop w:val="0"/>
      <w:marBottom w:val="0"/>
      <w:divBdr>
        <w:top w:val="none" w:sz="0" w:space="0" w:color="auto"/>
        <w:left w:val="none" w:sz="0" w:space="0" w:color="auto"/>
        <w:bottom w:val="none" w:sz="0" w:space="0" w:color="auto"/>
        <w:right w:val="none" w:sz="0" w:space="0" w:color="auto"/>
      </w:divBdr>
      <w:divsChild>
        <w:div w:id="1743722998">
          <w:marLeft w:val="720"/>
          <w:marRight w:val="0"/>
          <w:marTop w:val="0"/>
          <w:marBottom w:val="0"/>
          <w:divBdr>
            <w:top w:val="none" w:sz="0" w:space="0" w:color="auto"/>
            <w:left w:val="none" w:sz="0" w:space="0" w:color="auto"/>
            <w:bottom w:val="none" w:sz="0" w:space="0" w:color="auto"/>
            <w:right w:val="none" w:sz="0" w:space="0" w:color="auto"/>
          </w:divBdr>
        </w:div>
      </w:divsChild>
    </w:div>
    <w:div w:id="174656810">
      <w:bodyDiv w:val="1"/>
      <w:marLeft w:val="0"/>
      <w:marRight w:val="0"/>
      <w:marTop w:val="0"/>
      <w:marBottom w:val="0"/>
      <w:divBdr>
        <w:top w:val="none" w:sz="0" w:space="0" w:color="auto"/>
        <w:left w:val="none" w:sz="0" w:space="0" w:color="auto"/>
        <w:bottom w:val="none" w:sz="0" w:space="0" w:color="auto"/>
        <w:right w:val="none" w:sz="0" w:space="0" w:color="auto"/>
      </w:divBdr>
    </w:div>
    <w:div w:id="177738636">
      <w:bodyDiv w:val="1"/>
      <w:marLeft w:val="0"/>
      <w:marRight w:val="0"/>
      <w:marTop w:val="0"/>
      <w:marBottom w:val="0"/>
      <w:divBdr>
        <w:top w:val="none" w:sz="0" w:space="0" w:color="auto"/>
        <w:left w:val="none" w:sz="0" w:space="0" w:color="auto"/>
        <w:bottom w:val="none" w:sz="0" w:space="0" w:color="auto"/>
        <w:right w:val="none" w:sz="0" w:space="0" w:color="auto"/>
      </w:divBdr>
      <w:divsChild>
        <w:div w:id="291717799">
          <w:marLeft w:val="0"/>
          <w:marRight w:val="0"/>
          <w:marTop w:val="0"/>
          <w:marBottom w:val="0"/>
          <w:divBdr>
            <w:top w:val="none" w:sz="0" w:space="0" w:color="auto"/>
            <w:left w:val="none" w:sz="0" w:space="0" w:color="auto"/>
            <w:bottom w:val="none" w:sz="0" w:space="0" w:color="auto"/>
            <w:right w:val="none" w:sz="0" w:space="0" w:color="auto"/>
          </w:divBdr>
          <w:divsChild>
            <w:div w:id="492912668">
              <w:marLeft w:val="0"/>
              <w:marRight w:val="0"/>
              <w:marTop w:val="0"/>
              <w:marBottom w:val="0"/>
              <w:divBdr>
                <w:top w:val="none" w:sz="0" w:space="0" w:color="auto"/>
                <w:left w:val="none" w:sz="0" w:space="0" w:color="auto"/>
                <w:bottom w:val="none" w:sz="0" w:space="0" w:color="auto"/>
                <w:right w:val="none" w:sz="0" w:space="0" w:color="auto"/>
              </w:divBdr>
              <w:divsChild>
                <w:div w:id="3129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0356">
      <w:bodyDiv w:val="1"/>
      <w:marLeft w:val="0"/>
      <w:marRight w:val="0"/>
      <w:marTop w:val="0"/>
      <w:marBottom w:val="0"/>
      <w:divBdr>
        <w:top w:val="none" w:sz="0" w:space="0" w:color="auto"/>
        <w:left w:val="none" w:sz="0" w:space="0" w:color="auto"/>
        <w:bottom w:val="none" w:sz="0" w:space="0" w:color="auto"/>
        <w:right w:val="none" w:sz="0" w:space="0" w:color="auto"/>
      </w:divBdr>
    </w:div>
    <w:div w:id="245960017">
      <w:bodyDiv w:val="1"/>
      <w:marLeft w:val="0"/>
      <w:marRight w:val="0"/>
      <w:marTop w:val="0"/>
      <w:marBottom w:val="0"/>
      <w:divBdr>
        <w:top w:val="none" w:sz="0" w:space="0" w:color="auto"/>
        <w:left w:val="none" w:sz="0" w:space="0" w:color="auto"/>
        <w:bottom w:val="none" w:sz="0" w:space="0" w:color="auto"/>
        <w:right w:val="none" w:sz="0" w:space="0" w:color="auto"/>
      </w:divBdr>
    </w:div>
    <w:div w:id="249778801">
      <w:bodyDiv w:val="1"/>
      <w:marLeft w:val="0"/>
      <w:marRight w:val="0"/>
      <w:marTop w:val="0"/>
      <w:marBottom w:val="0"/>
      <w:divBdr>
        <w:top w:val="none" w:sz="0" w:space="0" w:color="auto"/>
        <w:left w:val="none" w:sz="0" w:space="0" w:color="auto"/>
        <w:bottom w:val="none" w:sz="0" w:space="0" w:color="auto"/>
        <w:right w:val="none" w:sz="0" w:space="0" w:color="auto"/>
      </w:divBdr>
    </w:div>
    <w:div w:id="302275742">
      <w:bodyDiv w:val="1"/>
      <w:marLeft w:val="0"/>
      <w:marRight w:val="0"/>
      <w:marTop w:val="0"/>
      <w:marBottom w:val="0"/>
      <w:divBdr>
        <w:top w:val="none" w:sz="0" w:space="0" w:color="auto"/>
        <w:left w:val="none" w:sz="0" w:space="0" w:color="auto"/>
        <w:bottom w:val="none" w:sz="0" w:space="0" w:color="auto"/>
        <w:right w:val="none" w:sz="0" w:space="0" w:color="auto"/>
      </w:divBdr>
    </w:div>
    <w:div w:id="309135065">
      <w:bodyDiv w:val="1"/>
      <w:marLeft w:val="0"/>
      <w:marRight w:val="0"/>
      <w:marTop w:val="0"/>
      <w:marBottom w:val="0"/>
      <w:divBdr>
        <w:top w:val="none" w:sz="0" w:space="0" w:color="auto"/>
        <w:left w:val="none" w:sz="0" w:space="0" w:color="auto"/>
        <w:bottom w:val="none" w:sz="0" w:space="0" w:color="auto"/>
        <w:right w:val="none" w:sz="0" w:space="0" w:color="auto"/>
      </w:divBdr>
    </w:div>
    <w:div w:id="317272428">
      <w:bodyDiv w:val="1"/>
      <w:marLeft w:val="0"/>
      <w:marRight w:val="0"/>
      <w:marTop w:val="0"/>
      <w:marBottom w:val="0"/>
      <w:divBdr>
        <w:top w:val="none" w:sz="0" w:space="0" w:color="auto"/>
        <w:left w:val="none" w:sz="0" w:space="0" w:color="auto"/>
        <w:bottom w:val="none" w:sz="0" w:space="0" w:color="auto"/>
        <w:right w:val="none" w:sz="0" w:space="0" w:color="auto"/>
      </w:divBdr>
    </w:div>
    <w:div w:id="322122068">
      <w:bodyDiv w:val="1"/>
      <w:marLeft w:val="0"/>
      <w:marRight w:val="0"/>
      <w:marTop w:val="0"/>
      <w:marBottom w:val="0"/>
      <w:divBdr>
        <w:top w:val="none" w:sz="0" w:space="0" w:color="auto"/>
        <w:left w:val="none" w:sz="0" w:space="0" w:color="auto"/>
        <w:bottom w:val="none" w:sz="0" w:space="0" w:color="auto"/>
        <w:right w:val="none" w:sz="0" w:space="0" w:color="auto"/>
      </w:divBdr>
    </w:div>
    <w:div w:id="328409558">
      <w:bodyDiv w:val="1"/>
      <w:marLeft w:val="0"/>
      <w:marRight w:val="0"/>
      <w:marTop w:val="0"/>
      <w:marBottom w:val="0"/>
      <w:divBdr>
        <w:top w:val="none" w:sz="0" w:space="0" w:color="auto"/>
        <w:left w:val="none" w:sz="0" w:space="0" w:color="auto"/>
        <w:bottom w:val="none" w:sz="0" w:space="0" w:color="auto"/>
        <w:right w:val="none" w:sz="0" w:space="0" w:color="auto"/>
      </w:divBdr>
    </w:div>
    <w:div w:id="334459333">
      <w:bodyDiv w:val="1"/>
      <w:marLeft w:val="0"/>
      <w:marRight w:val="0"/>
      <w:marTop w:val="0"/>
      <w:marBottom w:val="0"/>
      <w:divBdr>
        <w:top w:val="none" w:sz="0" w:space="0" w:color="auto"/>
        <w:left w:val="none" w:sz="0" w:space="0" w:color="auto"/>
        <w:bottom w:val="none" w:sz="0" w:space="0" w:color="auto"/>
        <w:right w:val="none" w:sz="0" w:space="0" w:color="auto"/>
      </w:divBdr>
    </w:div>
    <w:div w:id="353656336">
      <w:bodyDiv w:val="1"/>
      <w:marLeft w:val="0"/>
      <w:marRight w:val="0"/>
      <w:marTop w:val="0"/>
      <w:marBottom w:val="0"/>
      <w:divBdr>
        <w:top w:val="none" w:sz="0" w:space="0" w:color="auto"/>
        <w:left w:val="none" w:sz="0" w:space="0" w:color="auto"/>
        <w:bottom w:val="none" w:sz="0" w:space="0" w:color="auto"/>
        <w:right w:val="none" w:sz="0" w:space="0" w:color="auto"/>
      </w:divBdr>
    </w:div>
    <w:div w:id="380251737">
      <w:bodyDiv w:val="1"/>
      <w:marLeft w:val="0"/>
      <w:marRight w:val="0"/>
      <w:marTop w:val="0"/>
      <w:marBottom w:val="0"/>
      <w:divBdr>
        <w:top w:val="none" w:sz="0" w:space="0" w:color="auto"/>
        <w:left w:val="none" w:sz="0" w:space="0" w:color="auto"/>
        <w:bottom w:val="none" w:sz="0" w:space="0" w:color="auto"/>
        <w:right w:val="none" w:sz="0" w:space="0" w:color="auto"/>
      </w:divBdr>
    </w:div>
    <w:div w:id="397900470">
      <w:bodyDiv w:val="1"/>
      <w:marLeft w:val="0"/>
      <w:marRight w:val="0"/>
      <w:marTop w:val="0"/>
      <w:marBottom w:val="0"/>
      <w:divBdr>
        <w:top w:val="none" w:sz="0" w:space="0" w:color="auto"/>
        <w:left w:val="none" w:sz="0" w:space="0" w:color="auto"/>
        <w:bottom w:val="none" w:sz="0" w:space="0" w:color="auto"/>
        <w:right w:val="none" w:sz="0" w:space="0" w:color="auto"/>
      </w:divBdr>
    </w:div>
    <w:div w:id="407578833">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87677308">
      <w:bodyDiv w:val="1"/>
      <w:marLeft w:val="0"/>
      <w:marRight w:val="0"/>
      <w:marTop w:val="0"/>
      <w:marBottom w:val="0"/>
      <w:divBdr>
        <w:top w:val="none" w:sz="0" w:space="0" w:color="auto"/>
        <w:left w:val="none" w:sz="0" w:space="0" w:color="auto"/>
        <w:bottom w:val="none" w:sz="0" w:space="0" w:color="auto"/>
        <w:right w:val="none" w:sz="0" w:space="0" w:color="auto"/>
      </w:divBdr>
    </w:div>
    <w:div w:id="489562409">
      <w:bodyDiv w:val="1"/>
      <w:marLeft w:val="0"/>
      <w:marRight w:val="0"/>
      <w:marTop w:val="0"/>
      <w:marBottom w:val="0"/>
      <w:divBdr>
        <w:top w:val="none" w:sz="0" w:space="0" w:color="auto"/>
        <w:left w:val="none" w:sz="0" w:space="0" w:color="auto"/>
        <w:bottom w:val="none" w:sz="0" w:space="0" w:color="auto"/>
        <w:right w:val="none" w:sz="0" w:space="0" w:color="auto"/>
      </w:divBdr>
    </w:div>
    <w:div w:id="506556015">
      <w:bodyDiv w:val="1"/>
      <w:marLeft w:val="0"/>
      <w:marRight w:val="0"/>
      <w:marTop w:val="0"/>
      <w:marBottom w:val="0"/>
      <w:divBdr>
        <w:top w:val="none" w:sz="0" w:space="0" w:color="auto"/>
        <w:left w:val="none" w:sz="0" w:space="0" w:color="auto"/>
        <w:bottom w:val="none" w:sz="0" w:space="0" w:color="auto"/>
        <w:right w:val="none" w:sz="0" w:space="0" w:color="auto"/>
      </w:divBdr>
    </w:div>
    <w:div w:id="519928468">
      <w:bodyDiv w:val="1"/>
      <w:marLeft w:val="0"/>
      <w:marRight w:val="0"/>
      <w:marTop w:val="0"/>
      <w:marBottom w:val="0"/>
      <w:divBdr>
        <w:top w:val="none" w:sz="0" w:space="0" w:color="auto"/>
        <w:left w:val="none" w:sz="0" w:space="0" w:color="auto"/>
        <w:bottom w:val="none" w:sz="0" w:space="0" w:color="auto"/>
        <w:right w:val="none" w:sz="0" w:space="0" w:color="auto"/>
      </w:divBdr>
    </w:div>
    <w:div w:id="524253817">
      <w:bodyDiv w:val="1"/>
      <w:marLeft w:val="0"/>
      <w:marRight w:val="0"/>
      <w:marTop w:val="0"/>
      <w:marBottom w:val="0"/>
      <w:divBdr>
        <w:top w:val="none" w:sz="0" w:space="0" w:color="auto"/>
        <w:left w:val="none" w:sz="0" w:space="0" w:color="auto"/>
        <w:bottom w:val="none" w:sz="0" w:space="0" w:color="auto"/>
        <w:right w:val="none" w:sz="0" w:space="0" w:color="auto"/>
      </w:divBdr>
    </w:div>
    <w:div w:id="536242541">
      <w:bodyDiv w:val="1"/>
      <w:marLeft w:val="0"/>
      <w:marRight w:val="0"/>
      <w:marTop w:val="0"/>
      <w:marBottom w:val="0"/>
      <w:divBdr>
        <w:top w:val="none" w:sz="0" w:space="0" w:color="auto"/>
        <w:left w:val="none" w:sz="0" w:space="0" w:color="auto"/>
        <w:bottom w:val="none" w:sz="0" w:space="0" w:color="auto"/>
        <w:right w:val="none" w:sz="0" w:space="0" w:color="auto"/>
      </w:divBdr>
    </w:div>
    <w:div w:id="563374816">
      <w:bodyDiv w:val="1"/>
      <w:marLeft w:val="0"/>
      <w:marRight w:val="0"/>
      <w:marTop w:val="0"/>
      <w:marBottom w:val="0"/>
      <w:divBdr>
        <w:top w:val="none" w:sz="0" w:space="0" w:color="auto"/>
        <w:left w:val="none" w:sz="0" w:space="0" w:color="auto"/>
        <w:bottom w:val="none" w:sz="0" w:space="0" w:color="auto"/>
        <w:right w:val="none" w:sz="0" w:space="0" w:color="auto"/>
      </w:divBdr>
    </w:div>
    <w:div w:id="571817005">
      <w:bodyDiv w:val="1"/>
      <w:marLeft w:val="0"/>
      <w:marRight w:val="0"/>
      <w:marTop w:val="0"/>
      <w:marBottom w:val="0"/>
      <w:divBdr>
        <w:top w:val="none" w:sz="0" w:space="0" w:color="auto"/>
        <w:left w:val="none" w:sz="0" w:space="0" w:color="auto"/>
        <w:bottom w:val="none" w:sz="0" w:space="0" w:color="auto"/>
        <w:right w:val="none" w:sz="0" w:space="0" w:color="auto"/>
      </w:divBdr>
    </w:div>
    <w:div w:id="626620029">
      <w:bodyDiv w:val="1"/>
      <w:marLeft w:val="0"/>
      <w:marRight w:val="0"/>
      <w:marTop w:val="0"/>
      <w:marBottom w:val="0"/>
      <w:divBdr>
        <w:top w:val="none" w:sz="0" w:space="0" w:color="auto"/>
        <w:left w:val="none" w:sz="0" w:space="0" w:color="auto"/>
        <w:bottom w:val="none" w:sz="0" w:space="0" w:color="auto"/>
        <w:right w:val="none" w:sz="0" w:space="0" w:color="auto"/>
      </w:divBdr>
    </w:div>
    <w:div w:id="629479236">
      <w:bodyDiv w:val="1"/>
      <w:marLeft w:val="0"/>
      <w:marRight w:val="0"/>
      <w:marTop w:val="0"/>
      <w:marBottom w:val="0"/>
      <w:divBdr>
        <w:top w:val="none" w:sz="0" w:space="0" w:color="auto"/>
        <w:left w:val="none" w:sz="0" w:space="0" w:color="auto"/>
        <w:bottom w:val="none" w:sz="0" w:space="0" w:color="auto"/>
        <w:right w:val="none" w:sz="0" w:space="0" w:color="auto"/>
      </w:divBdr>
    </w:div>
    <w:div w:id="634061677">
      <w:bodyDiv w:val="1"/>
      <w:marLeft w:val="0"/>
      <w:marRight w:val="0"/>
      <w:marTop w:val="0"/>
      <w:marBottom w:val="0"/>
      <w:divBdr>
        <w:top w:val="none" w:sz="0" w:space="0" w:color="auto"/>
        <w:left w:val="none" w:sz="0" w:space="0" w:color="auto"/>
        <w:bottom w:val="none" w:sz="0" w:space="0" w:color="auto"/>
        <w:right w:val="none" w:sz="0" w:space="0" w:color="auto"/>
      </w:divBdr>
    </w:div>
    <w:div w:id="637800788">
      <w:bodyDiv w:val="1"/>
      <w:marLeft w:val="0"/>
      <w:marRight w:val="0"/>
      <w:marTop w:val="0"/>
      <w:marBottom w:val="0"/>
      <w:divBdr>
        <w:top w:val="none" w:sz="0" w:space="0" w:color="auto"/>
        <w:left w:val="none" w:sz="0" w:space="0" w:color="auto"/>
        <w:bottom w:val="none" w:sz="0" w:space="0" w:color="auto"/>
        <w:right w:val="none" w:sz="0" w:space="0" w:color="auto"/>
      </w:divBdr>
    </w:div>
    <w:div w:id="682440363">
      <w:bodyDiv w:val="1"/>
      <w:marLeft w:val="0"/>
      <w:marRight w:val="0"/>
      <w:marTop w:val="0"/>
      <w:marBottom w:val="0"/>
      <w:divBdr>
        <w:top w:val="none" w:sz="0" w:space="0" w:color="auto"/>
        <w:left w:val="none" w:sz="0" w:space="0" w:color="auto"/>
        <w:bottom w:val="none" w:sz="0" w:space="0" w:color="auto"/>
        <w:right w:val="none" w:sz="0" w:space="0" w:color="auto"/>
      </w:divBdr>
    </w:div>
    <w:div w:id="695811821">
      <w:bodyDiv w:val="1"/>
      <w:marLeft w:val="0"/>
      <w:marRight w:val="0"/>
      <w:marTop w:val="0"/>
      <w:marBottom w:val="0"/>
      <w:divBdr>
        <w:top w:val="none" w:sz="0" w:space="0" w:color="auto"/>
        <w:left w:val="none" w:sz="0" w:space="0" w:color="auto"/>
        <w:bottom w:val="none" w:sz="0" w:space="0" w:color="auto"/>
        <w:right w:val="none" w:sz="0" w:space="0" w:color="auto"/>
      </w:divBdr>
    </w:div>
    <w:div w:id="750590336">
      <w:bodyDiv w:val="1"/>
      <w:marLeft w:val="0"/>
      <w:marRight w:val="0"/>
      <w:marTop w:val="0"/>
      <w:marBottom w:val="0"/>
      <w:divBdr>
        <w:top w:val="none" w:sz="0" w:space="0" w:color="auto"/>
        <w:left w:val="none" w:sz="0" w:space="0" w:color="auto"/>
        <w:bottom w:val="none" w:sz="0" w:space="0" w:color="auto"/>
        <w:right w:val="none" w:sz="0" w:space="0" w:color="auto"/>
      </w:divBdr>
      <w:divsChild>
        <w:div w:id="1277834355">
          <w:marLeft w:val="720"/>
          <w:marRight w:val="0"/>
          <w:marTop w:val="0"/>
          <w:marBottom w:val="0"/>
          <w:divBdr>
            <w:top w:val="none" w:sz="0" w:space="0" w:color="auto"/>
            <w:left w:val="none" w:sz="0" w:space="0" w:color="auto"/>
            <w:bottom w:val="none" w:sz="0" w:space="0" w:color="auto"/>
            <w:right w:val="none" w:sz="0" w:space="0" w:color="auto"/>
          </w:divBdr>
        </w:div>
      </w:divsChild>
    </w:div>
    <w:div w:id="753671166">
      <w:bodyDiv w:val="1"/>
      <w:marLeft w:val="0"/>
      <w:marRight w:val="0"/>
      <w:marTop w:val="0"/>
      <w:marBottom w:val="0"/>
      <w:divBdr>
        <w:top w:val="none" w:sz="0" w:space="0" w:color="auto"/>
        <w:left w:val="none" w:sz="0" w:space="0" w:color="auto"/>
        <w:bottom w:val="none" w:sz="0" w:space="0" w:color="auto"/>
        <w:right w:val="none" w:sz="0" w:space="0" w:color="auto"/>
      </w:divBdr>
    </w:div>
    <w:div w:id="762259414">
      <w:bodyDiv w:val="1"/>
      <w:marLeft w:val="0"/>
      <w:marRight w:val="0"/>
      <w:marTop w:val="0"/>
      <w:marBottom w:val="0"/>
      <w:divBdr>
        <w:top w:val="none" w:sz="0" w:space="0" w:color="auto"/>
        <w:left w:val="none" w:sz="0" w:space="0" w:color="auto"/>
        <w:bottom w:val="none" w:sz="0" w:space="0" w:color="auto"/>
        <w:right w:val="none" w:sz="0" w:space="0" w:color="auto"/>
      </w:divBdr>
    </w:div>
    <w:div w:id="786242046">
      <w:bodyDiv w:val="1"/>
      <w:marLeft w:val="0"/>
      <w:marRight w:val="0"/>
      <w:marTop w:val="0"/>
      <w:marBottom w:val="0"/>
      <w:divBdr>
        <w:top w:val="none" w:sz="0" w:space="0" w:color="auto"/>
        <w:left w:val="none" w:sz="0" w:space="0" w:color="auto"/>
        <w:bottom w:val="none" w:sz="0" w:space="0" w:color="auto"/>
        <w:right w:val="none" w:sz="0" w:space="0" w:color="auto"/>
      </w:divBdr>
    </w:div>
    <w:div w:id="787966779">
      <w:bodyDiv w:val="1"/>
      <w:marLeft w:val="0"/>
      <w:marRight w:val="0"/>
      <w:marTop w:val="0"/>
      <w:marBottom w:val="0"/>
      <w:divBdr>
        <w:top w:val="none" w:sz="0" w:space="0" w:color="auto"/>
        <w:left w:val="none" w:sz="0" w:space="0" w:color="auto"/>
        <w:bottom w:val="none" w:sz="0" w:space="0" w:color="auto"/>
        <w:right w:val="none" w:sz="0" w:space="0" w:color="auto"/>
      </w:divBdr>
      <w:divsChild>
        <w:div w:id="295526575">
          <w:marLeft w:val="0"/>
          <w:marRight w:val="0"/>
          <w:marTop w:val="0"/>
          <w:marBottom w:val="0"/>
          <w:divBdr>
            <w:top w:val="none" w:sz="0" w:space="0" w:color="auto"/>
            <w:left w:val="none" w:sz="0" w:space="0" w:color="auto"/>
            <w:bottom w:val="none" w:sz="0" w:space="0" w:color="auto"/>
            <w:right w:val="single" w:sz="12" w:space="0" w:color="FFFFFF"/>
          </w:divBdr>
          <w:divsChild>
            <w:div w:id="2298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26288">
      <w:bodyDiv w:val="1"/>
      <w:marLeft w:val="0"/>
      <w:marRight w:val="0"/>
      <w:marTop w:val="0"/>
      <w:marBottom w:val="0"/>
      <w:divBdr>
        <w:top w:val="none" w:sz="0" w:space="0" w:color="auto"/>
        <w:left w:val="none" w:sz="0" w:space="0" w:color="auto"/>
        <w:bottom w:val="none" w:sz="0" w:space="0" w:color="auto"/>
        <w:right w:val="none" w:sz="0" w:space="0" w:color="auto"/>
      </w:divBdr>
    </w:div>
    <w:div w:id="798767249">
      <w:bodyDiv w:val="1"/>
      <w:marLeft w:val="0"/>
      <w:marRight w:val="0"/>
      <w:marTop w:val="0"/>
      <w:marBottom w:val="0"/>
      <w:divBdr>
        <w:top w:val="none" w:sz="0" w:space="0" w:color="auto"/>
        <w:left w:val="none" w:sz="0" w:space="0" w:color="auto"/>
        <w:bottom w:val="none" w:sz="0" w:space="0" w:color="auto"/>
        <w:right w:val="none" w:sz="0" w:space="0" w:color="auto"/>
      </w:divBdr>
    </w:div>
    <w:div w:id="820461983">
      <w:bodyDiv w:val="1"/>
      <w:marLeft w:val="0"/>
      <w:marRight w:val="0"/>
      <w:marTop w:val="0"/>
      <w:marBottom w:val="0"/>
      <w:divBdr>
        <w:top w:val="none" w:sz="0" w:space="0" w:color="auto"/>
        <w:left w:val="none" w:sz="0" w:space="0" w:color="auto"/>
        <w:bottom w:val="none" w:sz="0" w:space="0" w:color="auto"/>
        <w:right w:val="none" w:sz="0" w:space="0" w:color="auto"/>
      </w:divBdr>
    </w:div>
    <w:div w:id="854415924">
      <w:bodyDiv w:val="1"/>
      <w:marLeft w:val="0"/>
      <w:marRight w:val="0"/>
      <w:marTop w:val="0"/>
      <w:marBottom w:val="0"/>
      <w:divBdr>
        <w:top w:val="none" w:sz="0" w:space="0" w:color="auto"/>
        <w:left w:val="none" w:sz="0" w:space="0" w:color="auto"/>
        <w:bottom w:val="none" w:sz="0" w:space="0" w:color="auto"/>
        <w:right w:val="none" w:sz="0" w:space="0" w:color="auto"/>
      </w:divBdr>
    </w:div>
    <w:div w:id="887112910">
      <w:bodyDiv w:val="1"/>
      <w:marLeft w:val="0"/>
      <w:marRight w:val="0"/>
      <w:marTop w:val="0"/>
      <w:marBottom w:val="0"/>
      <w:divBdr>
        <w:top w:val="none" w:sz="0" w:space="0" w:color="auto"/>
        <w:left w:val="none" w:sz="0" w:space="0" w:color="auto"/>
        <w:bottom w:val="none" w:sz="0" w:space="0" w:color="auto"/>
        <w:right w:val="none" w:sz="0" w:space="0" w:color="auto"/>
      </w:divBdr>
      <w:divsChild>
        <w:div w:id="292250384">
          <w:marLeft w:val="1166"/>
          <w:marRight w:val="0"/>
          <w:marTop w:val="86"/>
          <w:marBottom w:val="0"/>
          <w:divBdr>
            <w:top w:val="none" w:sz="0" w:space="0" w:color="auto"/>
            <w:left w:val="none" w:sz="0" w:space="0" w:color="auto"/>
            <w:bottom w:val="none" w:sz="0" w:space="0" w:color="auto"/>
            <w:right w:val="none" w:sz="0" w:space="0" w:color="auto"/>
          </w:divBdr>
        </w:div>
        <w:div w:id="633213903">
          <w:marLeft w:val="547"/>
          <w:marRight w:val="0"/>
          <w:marTop w:val="96"/>
          <w:marBottom w:val="0"/>
          <w:divBdr>
            <w:top w:val="none" w:sz="0" w:space="0" w:color="auto"/>
            <w:left w:val="none" w:sz="0" w:space="0" w:color="auto"/>
            <w:bottom w:val="none" w:sz="0" w:space="0" w:color="auto"/>
            <w:right w:val="none" w:sz="0" w:space="0" w:color="auto"/>
          </w:divBdr>
        </w:div>
        <w:div w:id="1033765979">
          <w:marLeft w:val="1166"/>
          <w:marRight w:val="0"/>
          <w:marTop w:val="86"/>
          <w:marBottom w:val="0"/>
          <w:divBdr>
            <w:top w:val="none" w:sz="0" w:space="0" w:color="auto"/>
            <w:left w:val="none" w:sz="0" w:space="0" w:color="auto"/>
            <w:bottom w:val="none" w:sz="0" w:space="0" w:color="auto"/>
            <w:right w:val="none" w:sz="0" w:space="0" w:color="auto"/>
          </w:divBdr>
        </w:div>
        <w:div w:id="1040864785">
          <w:marLeft w:val="1166"/>
          <w:marRight w:val="0"/>
          <w:marTop w:val="86"/>
          <w:marBottom w:val="0"/>
          <w:divBdr>
            <w:top w:val="none" w:sz="0" w:space="0" w:color="auto"/>
            <w:left w:val="none" w:sz="0" w:space="0" w:color="auto"/>
            <w:bottom w:val="none" w:sz="0" w:space="0" w:color="auto"/>
            <w:right w:val="none" w:sz="0" w:space="0" w:color="auto"/>
          </w:divBdr>
        </w:div>
        <w:div w:id="1320576467">
          <w:marLeft w:val="547"/>
          <w:marRight w:val="0"/>
          <w:marTop w:val="96"/>
          <w:marBottom w:val="0"/>
          <w:divBdr>
            <w:top w:val="none" w:sz="0" w:space="0" w:color="auto"/>
            <w:left w:val="none" w:sz="0" w:space="0" w:color="auto"/>
            <w:bottom w:val="none" w:sz="0" w:space="0" w:color="auto"/>
            <w:right w:val="none" w:sz="0" w:space="0" w:color="auto"/>
          </w:divBdr>
        </w:div>
        <w:div w:id="1439640470">
          <w:marLeft w:val="547"/>
          <w:marRight w:val="0"/>
          <w:marTop w:val="96"/>
          <w:marBottom w:val="0"/>
          <w:divBdr>
            <w:top w:val="none" w:sz="0" w:space="0" w:color="auto"/>
            <w:left w:val="none" w:sz="0" w:space="0" w:color="auto"/>
            <w:bottom w:val="none" w:sz="0" w:space="0" w:color="auto"/>
            <w:right w:val="none" w:sz="0" w:space="0" w:color="auto"/>
          </w:divBdr>
        </w:div>
        <w:div w:id="1775393685">
          <w:marLeft w:val="1166"/>
          <w:marRight w:val="0"/>
          <w:marTop w:val="86"/>
          <w:marBottom w:val="0"/>
          <w:divBdr>
            <w:top w:val="none" w:sz="0" w:space="0" w:color="auto"/>
            <w:left w:val="none" w:sz="0" w:space="0" w:color="auto"/>
            <w:bottom w:val="none" w:sz="0" w:space="0" w:color="auto"/>
            <w:right w:val="none" w:sz="0" w:space="0" w:color="auto"/>
          </w:divBdr>
        </w:div>
        <w:div w:id="1800106814">
          <w:marLeft w:val="1166"/>
          <w:marRight w:val="0"/>
          <w:marTop w:val="86"/>
          <w:marBottom w:val="0"/>
          <w:divBdr>
            <w:top w:val="none" w:sz="0" w:space="0" w:color="auto"/>
            <w:left w:val="none" w:sz="0" w:space="0" w:color="auto"/>
            <w:bottom w:val="none" w:sz="0" w:space="0" w:color="auto"/>
            <w:right w:val="none" w:sz="0" w:space="0" w:color="auto"/>
          </w:divBdr>
        </w:div>
        <w:div w:id="1954045677">
          <w:marLeft w:val="547"/>
          <w:marRight w:val="0"/>
          <w:marTop w:val="96"/>
          <w:marBottom w:val="0"/>
          <w:divBdr>
            <w:top w:val="none" w:sz="0" w:space="0" w:color="auto"/>
            <w:left w:val="none" w:sz="0" w:space="0" w:color="auto"/>
            <w:bottom w:val="none" w:sz="0" w:space="0" w:color="auto"/>
            <w:right w:val="none" w:sz="0" w:space="0" w:color="auto"/>
          </w:divBdr>
        </w:div>
      </w:divsChild>
    </w:div>
    <w:div w:id="890044479">
      <w:bodyDiv w:val="1"/>
      <w:marLeft w:val="0"/>
      <w:marRight w:val="0"/>
      <w:marTop w:val="0"/>
      <w:marBottom w:val="0"/>
      <w:divBdr>
        <w:top w:val="none" w:sz="0" w:space="0" w:color="auto"/>
        <w:left w:val="none" w:sz="0" w:space="0" w:color="auto"/>
        <w:bottom w:val="none" w:sz="0" w:space="0" w:color="auto"/>
        <w:right w:val="none" w:sz="0" w:space="0" w:color="auto"/>
      </w:divBdr>
    </w:div>
    <w:div w:id="913275195">
      <w:bodyDiv w:val="1"/>
      <w:marLeft w:val="0"/>
      <w:marRight w:val="0"/>
      <w:marTop w:val="0"/>
      <w:marBottom w:val="0"/>
      <w:divBdr>
        <w:top w:val="none" w:sz="0" w:space="0" w:color="auto"/>
        <w:left w:val="none" w:sz="0" w:space="0" w:color="auto"/>
        <w:bottom w:val="none" w:sz="0" w:space="0" w:color="auto"/>
        <w:right w:val="none" w:sz="0" w:space="0" w:color="auto"/>
      </w:divBdr>
    </w:div>
    <w:div w:id="918640404">
      <w:bodyDiv w:val="1"/>
      <w:marLeft w:val="0"/>
      <w:marRight w:val="0"/>
      <w:marTop w:val="0"/>
      <w:marBottom w:val="0"/>
      <w:divBdr>
        <w:top w:val="none" w:sz="0" w:space="0" w:color="auto"/>
        <w:left w:val="none" w:sz="0" w:space="0" w:color="auto"/>
        <w:bottom w:val="none" w:sz="0" w:space="0" w:color="auto"/>
        <w:right w:val="none" w:sz="0" w:space="0" w:color="auto"/>
      </w:divBdr>
    </w:div>
    <w:div w:id="934675584">
      <w:bodyDiv w:val="1"/>
      <w:marLeft w:val="0"/>
      <w:marRight w:val="0"/>
      <w:marTop w:val="0"/>
      <w:marBottom w:val="0"/>
      <w:divBdr>
        <w:top w:val="none" w:sz="0" w:space="0" w:color="auto"/>
        <w:left w:val="none" w:sz="0" w:space="0" w:color="auto"/>
        <w:bottom w:val="none" w:sz="0" w:space="0" w:color="auto"/>
        <w:right w:val="none" w:sz="0" w:space="0" w:color="auto"/>
      </w:divBdr>
    </w:div>
    <w:div w:id="936642440">
      <w:bodyDiv w:val="1"/>
      <w:marLeft w:val="0"/>
      <w:marRight w:val="0"/>
      <w:marTop w:val="0"/>
      <w:marBottom w:val="0"/>
      <w:divBdr>
        <w:top w:val="none" w:sz="0" w:space="0" w:color="auto"/>
        <w:left w:val="none" w:sz="0" w:space="0" w:color="auto"/>
        <w:bottom w:val="none" w:sz="0" w:space="0" w:color="auto"/>
        <w:right w:val="none" w:sz="0" w:space="0" w:color="auto"/>
      </w:divBdr>
      <w:divsChild>
        <w:div w:id="658927105">
          <w:marLeft w:val="0"/>
          <w:marRight w:val="0"/>
          <w:marTop w:val="0"/>
          <w:marBottom w:val="0"/>
          <w:divBdr>
            <w:top w:val="none" w:sz="0" w:space="0" w:color="auto"/>
            <w:left w:val="none" w:sz="0" w:space="0" w:color="auto"/>
            <w:bottom w:val="none" w:sz="0" w:space="0" w:color="auto"/>
            <w:right w:val="none" w:sz="0" w:space="0" w:color="auto"/>
          </w:divBdr>
          <w:divsChild>
            <w:div w:id="1521581873">
              <w:marLeft w:val="0"/>
              <w:marRight w:val="0"/>
              <w:marTop w:val="0"/>
              <w:marBottom w:val="0"/>
              <w:divBdr>
                <w:top w:val="none" w:sz="0" w:space="0" w:color="auto"/>
                <w:left w:val="none" w:sz="0" w:space="0" w:color="auto"/>
                <w:bottom w:val="none" w:sz="0" w:space="0" w:color="auto"/>
                <w:right w:val="none" w:sz="0" w:space="0" w:color="auto"/>
              </w:divBdr>
              <w:divsChild>
                <w:div w:id="18921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0915">
      <w:bodyDiv w:val="1"/>
      <w:marLeft w:val="0"/>
      <w:marRight w:val="0"/>
      <w:marTop w:val="0"/>
      <w:marBottom w:val="0"/>
      <w:divBdr>
        <w:top w:val="none" w:sz="0" w:space="0" w:color="auto"/>
        <w:left w:val="none" w:sz="0" w:space="0" w:color="auto"/>
        <w:bottom w:val="none" w:sz="0" w:space="0" w:color="auto"/>
        <w:right w:val="none" w:sz="0" w:space="0" w:color="auto"/>
      </w:divBdr>
    </w:div>
    <w:div w:id="1006829628">
      <w:bodyDiv w:val="1"/>
      <w:marLeft w:val="0"/>
      <w:marRight w:val="0"/>
      <w:marTop w:val="0"/>
      <w:marBottom w:val="0"/>
      <w:divBdr>
        <w:top w:val="none" w:sz="0" w:space="0" w:color="auto"/>
        <w:left w:val="none" w:sz="0" w:space="0" w:color="auto"/>
        <w:bottom w:val="none" w:sz="0" w:space="0" w:color="auto"/>
        <w:right w:val="none" w:sz="0" w:space="0" w:color="auto"/>
      </w:divBdr>
    </w:div>
    <w:div w:id="1029450551">
      <w:bodyDiv w:val="1"/>
      <w:marLeft w:val="0"/>
      <w:marRight w:val="0"/>
      <w:marTop w:val="0"/>
      <w:marBottom w:val="0"/>
      <w:divBdr>
        <w:top w:val="none" w:sz="0" w:space="0" w:color="auto"/>
        <w:left w:val="none" w:sz="0" w:space="0" w:color="auto"/>
        <w:bottom w:val="none" w:sz="0" w:space="0" w:color="auto"/>
        <w:right w:val="none" w:sz="0" w:space="0" w:color="auto"/>
      </w:divBdr>
      <w:divsChild>
        <w:div w:id="1388528393">
          <w:marLeft w:val="0"/>
          <w:marRight w:val="0"/>
          <w:marTop w:val="0"/>
          <w:marBottom w:val="0"/>
          <w:divBdr>
            <w:top w:val="none" w:sz="0" w:space="0" w:color="auto"/>
            <w:left w:val="none" w:sz="0" w:space="0" w:color="auto"/>
            <w:bottom w:val="none" w:sz="0" w:space="0" w:color="auto"/>
            <w:right w:val="none" w:sz="0" w:space="0" w:color="auto"/>
          </w:divBdr>
        </w:div>
      </w:divsChild>
    </w:div>
    <w:div w:id="1042173845">
      <w:bodyDiv w:val="1"/>
      <w:marLeft w:val="0"/>
      <w:marRight w:val="0"/>
      <w:marTop w:val="0"/>
      <w:marBottom w:val="0"/>
      <w:divBdr>
        <w:top w:val="none" w:sz="0" w:space="0" w:color="auto"/>
        <w:left w:val="none" w:sz="0" w:space="0" w:color="auto"/>
        <w:bottom w:val="none" w:sz="0" w:space="0" w:color="auto"/>
        <w:right w:val="none" w:sz="0" w:space="0" w:color="auto"/>
      </w:divBdr>
    </w:div>
    <w:div w:id="1056709544">
      <w:bodyDiv w:val="1"/>
      <w:marLeft w:val="0"/>
      <w:marRight w:val="0"/>
      <w:marTop w:val="0"/>
      <w:marBottom w:val="0"/>
      <w:divBdr>
        <w:top w:val="none" w:sz="0" w:space="0" w:color="auto"/>
        <w:left w:val="none" w:sz="0" w:space="0" w:color="auto"/>
        <w:bottom w:val="none" w:sz="0" w:space="0" w:color="auto"/>
        <w:right w:val="none" w:sz="0" w:space="0" w:color="auto"/>
      </w:divBdr>
    </w:div>
    <w:div w:id="1080369166">
      <w:bodyDiv w:val="1"/>
      <w:marLeft w:val="0"/>
      <w:marRight w:val="0"/>
      <w:marTop w:val="0"/>
      <w:marBottom w:val="0"/>
      <w:divBdr>
        <w:top w:val="none" w:sz="0" w:space="0" w:color="auto"/>
        <w:left w:val="none" w:sz="0" w:space="0" w:color="auto"/>
        <w:bottom w:val="none" w:sz="0" w:space="0" w:color="auto"/>
        <w:right w:val="none" w:sz="0" w:space="0" w:color="auto"/>
      </w:divBdr>
      <w:divsChild>
        <w:div w:id="466432579">
          <w:marLeft w:val="0"/>
          <w:marRight w:val="0"/>
          <w:marTop w:val="0"/>
          <w:marBottom w:val="0"/>
          <w:divBdr>
            <w:top w:val="none" w:sz="0" w:space="0" w:color="auto"/>
            <w:left w:val="none" w:sz="0" w:space="0" w:color="auto"/>
            <w:bottom w:val="none" w:sz="0" w:space="0" w:color="auto"/>
            <w:right w:val="single" w:sz="12" w:space="0" w:color="FFFFFF"/>
          </w:divBdr>
          <w:divsChild>
            <w:div w:id="8682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78854">
      <w:bodyDiv w:val="1"/>
      <w:marLeft w:val="0"/>
      <w:marRight w:val="0"/>
      <w:marTop w:val="0"/>
      <w:marBottom w:val="0"/>
      <w:divBdr>
        <w:top w:val="none" w:sz="0" w:space="0" w:color="auto"/>
        <w:left w:val="none" w:sz="0" w:space="0" w:color="auto"/>
        <w:bottom w:val="none" w:sz="0" w:space="0" w:color="auto"/>
        <w:right w:val="none" w:sz="0" w:space="0" w:color="auto"/>
      </w:divBdr>
    </w:div>
    <w:div w:id="1142041682">
      <w:bodyDiv w:val="1"/>
      <w:marLeft w:val="0"/>
      <w:marRight w:val="0"/>
      <w:marTop w:val="0"/>
      <w:marBottom w:val="0"/>
      <w:divBdr>
        <w:top w:val="none" w:sz="0" w:space="0" w:color="auto"/>
        <w:left w:val="none" w:sz="0" w:space="0" w:color="auto"/>
        <w:bottom w:val="none" w:sz="0" w:space="0" w:color="auto"/>
        <w:right w:val="none" w:sz="0" w:space="0" w:color="auto"/>
      </w:divBdr>
    </w:div>
    <w:div w:id="1159348046">
      <w:bodyDiv w:val="1"/>
      <w:marLeft w:val="0"/>
      <w:marRight w:val="0"/>
      <w:marTop w:val="0"/>
      <w:marBottom w:val="0"/>
      <w:divBdr>
        <w:top w:val="none" w:sz="0" w:space="0" w:color="auto"/>
        <w:left w:val="none" w:sz="0" w:space="0" w:color="auto"/>
        <w:bottom w:val="none" w:sz="0" w:space="0" w:color="auto"/>
        <w:right w:val="none" w:sz="0" w:space="0" w:color="auto"/>
      </w:divBdr>
    </w:div>
    <w:div w:id="1170490392">
      <w:bodyDiv w:val="1"/>
      <w:marLeft w:val="0"/>
      <w:marRight w:val="0"/>
      <w:marTop w:val="0"/>
      <w:marBottom w:val="0"/>
      <w:divBdr>
        <w:top w:val="none" w:sz="0" w:space="0" w:color="auto"/>
        <w:left w:val="none" w:sz="0" w:space="0" w:color="auto"/>
        <w:bottom w:val="none" w:sz="0" w:space="0" w:color="auto"/>
        <w:right w:val="none" w:sz="0" w:space="0" w:color="auto"/>
      </w:divBdr>
    </w:div>
    <w:div w:id="1249315262">
      <w:bodyDiv w:val="1"/>
      <w:marLeft w:val="0"/>
      <w:marRight w:val="0"/>
      <w:marTop w:val="0"/>
      <w:marBottom w:val="0"/>
      <w:divBdr>
        <w:top w:val="none" w:sz="0" w:space="0" w:color="auto"/>
        <w:left w:val="none" w:sz="0" w:space="0" w:color="auto"/>
        <w:bottom w:val="none" w:sz="0" w:space="0" w:color="auto"/>
        <w:right w:val="none" w:sz="0" w:space="0" w:color="auto"/>
      </w:divBdr>
    </w:div>
    <w:div w:id="1256744775">
      <w:bodyDiv w:val="1"/>
      <w:marLeft w:val="0"/>
      <w:marRight w:val="0"/>
      <w:marTop w:val="0"/>
      <w:marBottom w:val="0"/>
      <w:divBdr>
        <w:top w:val="none" w:sz="0" w:space="0" w:color="auto"/>
        <w:left w:val="none" w:sz="0" w:space="0" w:color="auto"/>
        <w:bottom w:val="none" w:sz="0" w:space="0" w:color="auto"/>
        <w:right w:val="none" w:sz="0" w:space="0" w:color="auto"/>
      </w:divBdr>
    </w:div>
    <w:div w:id="1317488280">
      <w:bodyDiv w:val="1"/>
      <w:marLeft w:val="0"/>
      <w:marRight w:val="0"/>
      <w:marTop w:val="0"/>
      <w:marBottom w:val="0"/>
      <w:divBdr>
        <w:top w:val="none" w:sz="0" w:space="0" w:color="auto"/>
        <w:left w:val="none" w:sz="0" w:space="0" w:color="auto"/>
        <w:bottom w:val="none" w:sz="0" w:space="0" w:color="auto"/>
        <w:right w:val="none" w:sz="0" w:space="0" w:color="auto"/>
      </w:divBdr>
    </w:div>
    <w:div w:id="1318070143">
      <w:bodyDiv w:val="1"/>
      <w:marLeft w:val="0"/>
      <w:marRight w:val="0"/>
      <w:marTop w:val="0"/>
      <w:marBottom w:val="0"/>
      <w:divBdr>
        <w:top w:val="none" w:sz="0" w:space="0" w:color="auto"/>
        <w:left w:val="none" w:sz="0" w:space="0" w:color="auto"/>
        <w:bottom w:val="none" w:sz="0" w:space="0" w:color="auto"/>
        <w:right w:val="none" w:sz="0" w:space="0" w:color="auto"/>
      </w:divBdr>
    </w:div>
    <w:div w:id="1336767807">
      <w:bodyDiv w:val="1"/>
      <w:marLeft w:val="0"/>
      <w:marRight w:val="0"/>
      <w:marTop w:val="0"/>
      <w:marBottom w:val="0"/>
      <w:divBdr>
        <w:top w:val="none" w:sz="0" w:space="0" w:color="auto"/>
        <w:left w:val="none" w:sz="0" w:space="0" w:color="auto"/>
        <w:bottom w:val="none" w:sz="0" w:space="0" w:color="auto"/>
        <w:right w:val="none" w:sz="0" w:space="0" w:color="auto"/>
      </w:divBdr>
    </w:div>
    <w:div w:id="1338801000">
      <w:bodyDiv w:val="1"/>
      <w:marLeft w:val="0"/>
      <w:marRight w:val="0"/>
      <w:marTop w:val="0"/>
      <w:marBottom w:val="0"/>
      <w:divBdr>
        <w:top w:val="none" w:sz="0" w:space="0" w:color="auto"/>
        <w:left w:val="none" w:sz="0" w:space="0" w:color="auto"/>
        <w:bottom w:val="none" w:sz="0" w:space="0" w:color="auto"/>
        <w:right w:val="none" w:sz="0" w:space="0" w:color="auto"/>
      </w:divBdr>
    </w:div>
    <w:div w:id="1338924001">
      <w:bodyDiv w:val="1"/>
      <w:marLeft w:val="0"/>
      <w:marRight w:val="0"/>
      <w:marTop w:val="0"/>
      <w:marBottom w:val="0"/>
      <w:divBdr>
        <w:top w:val="none" w:sz="0" w:space="0" w:color="auto"/>
        <w:left w:val="none" w:sz="0" w:space="0" w:color="auto"/>
        <w:bottom w:val="none" w:sz="0" w:space="0" w:color="auto"/>
        <w:right w:val="none" w:sz="0" w:space="0" w:color="auto"/>
      </w:divBdr>
    </w:div>
    <w:div w:id="1348411394">
      <w:bodyDiv w:val="1"/>
      <w:marLeft w:val="0"/>
      <w:marRight w:val="0"/>
      <w:marTop w:val="0"/>
      <w:marBottom w:val="0"/>
      <w:divBdr>
        <w:top w:val="none" w:sz="0" w:space="0" w:color="auto"/>
        <w:left w:val="none" w:sz="0" w:space="0" w:color="auto"/>
        <w:bottom w:val="none" w:sz="0" w:space="0" w:color="auto"/>
        <w:right w:val="none" w:sz="0" w:space="0" w:color="auto"/>
      </w:divBdr>
    </w:div>
    <w:div w:id="1361471658">
      <w:bodyDiv w:val="1"/>
      <w:marLeft w:val="0"/>
      <w:marRight w:val="0"/>
      <w:marTop w:val="0"/>
      <w:marBottom w:val="0"/>
      <w:divBdr>
        <w:top w:val="none" w:sz="0" w:space="0" w:color="auto"/>
        <w:left w:val="none" w:sz="0" w:space="0" w:color="auto"/>
        <w:bottom w:val="none" w:sz="0" w:space="0" w:color="auto"/>
        <w:right w:val="none" w:sz="0" w:space="0" w:color="auto"/>
      </w:divBdr>
    </w:div>
    <w:div w:id="1390883785">
      <w:bodyDiv w:val="1"/>
      <w:marLeft w:val="0"/>
      <w:marRight w:val="0"/>
      <w:marTop w:val="0"/>
      <w:marBottom w:val="0"/>
      <w:divBdr>
        <w:top w:val="none" w:sz="0" w:space="0" w:color="auto"/>
        <w:left w:val="none" w:sz="0" w:space="0" w:color="auto"/>
        <w:bottom w:val="none" w:sz="0" w:space="0" w:color="auto"/>
        <w:right w:val="none" w:sz="0" w:space="0" w:color="auto"/>
      </w:divBdr>
    </w:div>
    <w:div w:id="1420131055">
      <w:bodyDiv w:val="1"/>
      <w:marLeft w:val="0"/>
      <w:marRight w:val="0"/>
      <w:marTop w:val="0"/>
      <w:marBottom w:val="0"/>
      <w:divBdr>
        <w:top w:val="none" w:sz="0" w:space="0" w:color="auto"/>
        <w:left w:val="none" w:sz="0" w:space="0" w:color="auto"/>
        <w:bottom w:val="none" w:sz="0" w:space="0" w:color="auto"/>
        <w:right w:val="none" w:sz="0" w:space="0" w:color="auto"/>
      </w:divBdr>
      <w:divsChild>
        <w:div w:id="679312555">
          <w:marLeft w:val="0"/>
          <w:marRight w:val="0"/>
          <w:marTop w:val="0"/>
          <w:marBottom w:val="0"/>
          <w:divBdr>
            <w:top w:val="none" w:sz="0" w:space="0" w:color="auto"/>
            <w:left w:val="none" w:sz="0" w:space="0" w:color="auto"/>
            <w:bottom w:val="none" w:sz="0" w:space="0" w:color="auto"/>
            <w:right w:val="none" w:sz="0" w:space="0" w:color="auto"/>
          </w:divBdr>
        </w:div>
      </w:divsChild>
    </w:div>
    <w:div w:id="1440906138">
      <w:bodyDiv w:val="1"/>
      <w:marLeft w:val="0"/>
      <w:marRight w:val="0"/>
      <w:marTop w:val="0"/>
      <w:marBottom w:val="0"/>
      <w:divBdr>
        <w:top w:val="none" w:sz="0" w:space="0" w:color="auto"/>
        <w:left w:val="none" w:sz="0" w:space="0" w:color="auto"/>
        <w:bottom w:val="none" w:sz="0" w:space="0" w:color="auto"/>
        <w:right w:val="none" w:sz="0" w:space="0" w:color="auto"/>
      </w:divBdr>
      <w:divsChild>
        <w:div w:id="422265199">
          <w:marLeft w:val="720"/>
          <w:marRight w:val="0"/>
          <w:marTop w:val="0"/>
          <w:marBottom w:val="0"/>
          <w:divBdr>
            <w:top w:val="none" w:sz="0" w:space="0" w:color="auto"/>
            <w:left w:val="none" w:sz="0" w:space="0" w:color="auto"/>
            <w:bottom w:val="none" w:sz="0" w:space="0" w:color="auto"/>
            <w:right w:val="none" w:sz="0" w:space="0" w:color="auto"/>
          </w:divBdr>
        </w:div>
      </w:divsChild>
    </w:div>
    <w:div w:id="1461799552">
      <w:bodyDiv w:val="1"/>
      <w:marLeft w:val="0"/>
      <w:marRight w:val="0"/>
      <w:marTop w:val="0"/>
      <w:marBottom w:val="0"/>
      <w:divBdr>
        <w:top w:val="none" w:sz="0" w:space="0" w:color="auto"/>
        <w:left w:val="none" w:sz="0" w:space="0" w:color="auto"/>
        <w:bottom w:val="none" w:sz="0" w:space="0" w:color="auto"/>
        <w:right w:val="none" w:sz="0" w:space="0" w:color="auto"/>
      </w:divBdr>
    </w:div>
    <w:div w:id="1475832138">
      <w:bodyDiv w:val="1"/>
      <w:marLeft w:val="0"/>
      <w:marRight w:val="0"/>
      <w:marTop w:val="0"/>
      <w:marBottom w:val="0"/>
      <w:divBdr>
        <w:top w:val="none" w:sz="0" w:space="0" w:color="auto"/>
        <w:left w:val="none" w:sz="0" w:space="0" w:color="auto"/>
        <w:bottom w:val="none" w:sz="0" w:space="0" w:color="auto"/>
        <w:right w:val="none" w:sz="0" w:space="0" w:color="auto"/>
      </w:divBdr>
    </w:div>
    <w:div w:id="1477651408">
      <w:bodyDiv w:val="1"/>
      <w:marLeft w:val="0"/>
      <w:marRight w:val="0"/>
      <w:marTop w:val="0"/>
      <w:marBottom w:val="0"/>
      <w:divBdr>
        <w:top w:val="none" w:sz="0" w:space="0" w:color="auto"/>
        <w:left w:val="none" w:sz="0" w:space="0" w:color="auto"/>
        <w:bottom w:val="none" w:sz="0" w:space="0" w:color="auto"/>
        <w:right w:val="none" w:sz="0" w:space="0" w:color="auto"/>
      </w:divBdr>
    </w:div>
    <w:div w:id="1501771968">
      <w:bodyDiv w:val="1"/>
      <w:marLeft w:val="0"/>
      <w:marRight w:val="0"/>
      <w:marTop w:val="0"/>
      <w:marBottom w:val="0"/>
      <w:divBdr>
        <w:top w:val="none" w:sz="0" w:space="0" w:color="auto"/>
        <w:left w:val="none" w:sz="0" w:space="0" w:color="auto"/>
        <w:bottom w:val="none" w:sz="0" w:space="0" w:color="auto"/>
        <w:right w:val="none" w:sz="0" w:space="0" w:color="auto"/>
      </w:divBdr>
    </w:div>
    <w:div w:id="1518352328">
      <w:bodyDiv w:val="1"/>
      <w:marLeft w:val="0"/>
      <w:marRight w:val="0"/>
      <w:marTop w:val="0"/>
      <w:marBottom w:val="0"/>
      <w:divBdr>
        <w:top w:val="none" w:sz="0" w:space="0" w:color="auto"/>
        <w:left w:val="none" w:sz="0" w:space="0" w:color="auto"/>
        <w:bottom w:val="none" w:sz="0" w:space="0" w:color="auto"/>
        <w:right w:val="none" w:sz="0" w:space="0" w:color="auto"/>
      </w:divBdr>
    </w:div>
    <w:div w:id="1541894343">
      <w:bodyDiv w:val="1"/>
      <w:marLeft w:val="0"/>
      <w:marRight w:val="0"/>
      <w:marTop w:val="0"/>
      <w:marBottom w:val="0"/>
      <w:divBdr>
        <w:top w:val="none" w:sz="0" w:space="0" w:color="auto"/>
        <w:left w:val="none" w:sz="0" w:space="0" w:color="auto"/>
        <w:bottom w:val="none" w:sz="0" w:space="0" w:color="auto"/>
        <w:right w:val="none" w:sz="0" w:space="0" w:color="auto"/>
      </w:divBdr>
    </w:div>
    <w:div w:id="1553151275">
      <w:bodyDiv w:val="1"/>
      <w:marLeft w:val="0"/>
      <w:marRight w:val="0"/>
      <w:marTop w:val="0"/>
      <w:marBottom w:val="0"/>
      <w:divBdr>
        <w:top w:val="none" w:sz="0" w:space="0" w:color="auto"/>
        <w:left w:val="none" w:sz="0" w:space="0" w:color="auto"/>
        <w:bottom w:val="none" w:sz="0" w:space="0" w:color="auto"/>
        <w:right w:val="none" w:sz="0" w:space="0" w:color="auto"/>
      </w:divBdr>
    </w:div>
    <w:div w:id="1564826136">
      <w:bodyDiv w:val="1"/>
      <w:marLeft w:val="0"/>
      <w:marRight w:val="0"/>
      <w:marTop w:val="0"/>
      <w:marBottom w:val="0"/>
      <w:divBdr>
        <w:top w:val="none" w:sz="0" w:space="0" w:color="auto"/>
        <w:left w:val="none" w:sz="0" w:space="0" w:color="auto"/>
        <w:bottom w:val="none" w:sz="0" w:space="0" w:color="auto"/>
        <w:right w:val="none" w:sz="0" w:space="0" w:color="auto"/>
      </w:divBdr>
    </w:div>
    <w:div w:id="1568759493">
      <w:bodyDiv w:val="1"/>
      <w:marLeft w:val="0"/>
      <w:marRight w:val="0"/>
      <w:marTop w:val="0"/>
      <w:marBottom w:val="0"/>
      <w:divBdr>
        <w:top w:val="none" w:sz="0" w:space="0" w:color="auto"/>
        <w:left w:val="none" w:sz="0" w:space="0" w:color="auto"/>
        <w:bottom w:val="none" w:sz="0" w:space="0" w:color="auto"/>
        <w:right w:val="none" w:sz="0" w:space="0" w:color="auto"/>
      </w:divBdr>
    </w:div>
    <w:div w:id="1603610212">
      <w:bodyDiv w:val="1"/>
      <w:marLeft w:val="0"/>
      <w:marRight w:val="0"/>
      <w:marTop w:val="0"/>
      <w:marBottom w:val="0"/>
      <w:divBdr>
        <w:top w:val="none" w:sz="0" w:space="0" w:color="auto"/>
        <w:left w:val="none" w:sz="0" w:space="0" w:color="auto"/>
        <w:bottom w:val="none" w:sz="0" w:space="0" w:color="auto"/>
        <w:right w:val="none" w:sz="0" w:space="0" w:color="auto"/>
      </w:divBdr>
    </w:div>
    <w:div w:id="1614634201">
      <w:bodyDiv w:val="1"/>
      <w:marLeft w:val="0"/>
      <w:marRight w:val="0"/>
      <w:marTop w:val="0"/>
      <w:marBottom w:val="0"/>
      <w:divBdr>
        <w:top w:val="none" w:sz="0" w:space="0" w:color="auto"/>
        <w:left w:val="none" w:sz="0" w:space="0" w:color="auto"/>
        <w:bottom w:val="none" w:sz="0" w:space="0" w:color="auto"/>
        <w:right w:val="none" w:sz="0" w:space="0" w:color="auto"/>
      </w:divBdr>
    </w:div>
    <w:div w:id="1614900092">
      <w:bodyDiv w:val="1"/>
      <w:marLeft w:val="0"/>
      <w:marRight w:val="0"/>
      <w:marTop w:val="0"/>
      <w:marBottom w:val="0"/>
      <w:divBdr>
        <w:top w:val="none" w:sz="0" w:space="0" w:color="auto"/>
        <w:left w:val="none" w:sz="0" w:space="0" w:color="auto"/>
        <w:bottom w:val="none" w:sz="0" w:space="0" w:color="auto"/>
        <w:right w:val="none" w:sz="0" w:space="0" w:color="auto"/>
      </w:divBdr>
    </w:div>
    <w:div w:id="1633437293">
      <w:bodyDiv w:val="1"/>
      <w:marLeft w:val="0"/>
      <w:marRight w:val="0"/>
      <w:marTop w:val="0"/>
      <w:marBottom w:val="0"/>
      <w:divBdr>
        <w:top w:val="none" w:sz="0" w:space="0" w:color="auto"/>
        <w:left w:val="none" w:sz="0" w:space="0" w:color="auto"/>
        <w:bottom w:val="none" w:sz="0" w:space="0" w:color="auto"/>
        <w:right w:val="none" w:sz="0" w:space="0" w:color="auto"/>
      </w:divBdr>
    </w:div>
    <w:div w:id="1663657639">
      <w:marLeft w:val="0"/>
      <w:marRight w:val="0"/>
      <w:marTop w:val="0"/>
      <w:marBottom w:val="0"/>
      <w:divBdr>
        <w:top w:val="none" w:sz="0" w:space="0" w:color="auto"/>
        <w:left w:val="none" w:sz="0" w:space="0" w:color="auto"/>
        <w:bottom w:val="none" w:sz="0" w:space="0" w:color="auto"/>
        <w:right w:val="none" w:sz="0" w:space="0" w:color="auto"/>
      </w:divBdr>
    </w:div>
    <w:div w:id="1663657641">
      <w:marLeft w:val="0"/>
      <w:marRight w:val="0"/>
      <w:marTop w:val="0"/>
      <w:marBottom w:val="0"/>
      <w:divBdr>
        <w:top w:val="none" w:sz="0" w:space="0" w:color="auto"/>
        <w:left w:val="none" w:sz="0" w:space="0" w:color="auto"/>
        <w:bottom w:val="none" w:sz="0" w:space="0" w:color="auto"/>
        <w:right w:val="none" w:sz="0" w:space="0" w:color="auto"/>
      </w:divBdr>
    </w:div>
    <w:div w:id="1663657643">
      <w:marLeft w:val="0"/>
      <w:marRight w:val="0"/>
      <w:marTop w:val="0"/>
      <w:marBottom w:val="0"/>
      <w:divBdr>
        <w:top w:val="none" w:sz="0" w:space="0" w:color="auto"/>
        <w:left w:val="none" w:sz="0" w:space="0" w:color="auto"/>
        <w:bottom w:val="none" w:sz="0" w:space="0" w:color="auto"/>
        <w:right w:val="none" w:sz="0" w:space="0" w:color="auto"/>
      </w:divBdr>
    </w:div>
    <w:div w:id="1663657644">
      <w:marLeft w:val="0"/>
      <w:marRight w:val="0"/>
      <w:marTop w:val="0"/>
      <w:marBottom w:val="0"/>
      <w:divBdr>
        <w:top w:val="none" w:sz="0" w:space="0" w:color="auto"/>
        <w:left w:val="none" w:sz="0" w:space="0" w:color="auto"/>
        <w:bottom w:val="none" w:sz="0" w:space="0" w:color="auto"/>
        <w:right w:val="none" w:sz="0" w:space="0" w:color="auto"/>
      </w:divBdr>
    </w:div>
    <w:div w:id="1663657646">
      <w:marLeft w:val="0"/>
      <w:marRight w:val="0"/>
      <w:marTop w:val="0"/>
      <w:marBottom w:val="0"/>
      <w:divBdr>
        <w:top w:val="none" w:sz="0" w:space="0" w:color="auto"/>
        <w:left w:val="none" w:sz="0" w:space="0" w:color="auto"/>
        <w:bottom w:val="none" w:sz="0" w:space="0" w:color="auto"/>
        <w:right w:val="none" w:sz="0" w:space="0" w:color="auto"/>
      </w:divBdr>
    </w:div>
    <w:div w:id="1663657647">
      <w:marLeft w:val="0"/>
      <w:marRight w:val="0"/>
      <w:marTop w:val="0"/>
      <w:marBottom w:val="0"/>
      <w:divBdr>
        <w:top w:val="none" w:sz="0" w:space="0" w:color="auto"/>
        <w:left w:val="none" w:sz="0" w:space="0" w:color="auto"/>
        <w:bottom w:val="none" w:sz="0" w:space="0" w:color="auto"/>
        <w:right w:val="none" w:sz="0" w:space="0" w:color="auto"/>
      </w:divBdr>
    </w:div>
    <w:div w:id="1663657648">
      <w:marLeft w:val="0"/>
      <w:marRight w:val="0"/>
      <w:marTop w:val="0"/>
      <w:marBottom w:val="0"/>
      <w:divBdr>
        <w:top w:val="none" w:sz="0" w:space="0" w:color="auto"/>
        <w:left w:val="none" w:sz="0" w:space="0" w:color="auto"/>
        <w:bottom w:val="none" w:sz="0" w:space="0" w:color="auto"/>
        <w:right w:val="none" w:sz="0" w:space="0" w:color="auto"/>
      </w:divBdr>
    </w:div>
    <w:div w:id="1663657649">
      <w:marLeft w:val="0"/>
      <w:marRight w:val="0"/>
      <w:marTop w:val="0"/>
      <w:marBottom w:val="0"/>
      <w:divBdr>
        <w:top w:val="none" w:sz="0" w:space="0" w:color="auto"/>
        <w:left w:val="none" w:sz="0" w:space="0" w:color="auto"/>
        <w:bottom w:val="none" w:sz="0" w:space="0" w:color="auto"/>
        <w:right w:val="none" w:sz="0" w:space="0" w:color="auto"/>
      </w:divBdr>
    </w:div>
    <w:div w:id="1663657650">
      <w:marLeft w:val="0"/>
      <w:marRight w:val="0"/>
      <w:marTop w:val="0"/>
      <w:marBottom w:val="0"/>
      <w:divBdr>
        <w:top w:val="none" w:sz="0" w:space="0" w:color="auto"/>
        <w:left w:val="none" w:sz="0" w:space="0" w:color="auto"/>
        <w:bottom w:val="none" w:sz="0" w:space="0" w:color="auto"/>
        <w:right w:val="none" w:sz="0" w:space="0" w:color="auto"/>
      </w:divBdr>
    </w:div>
    <w:div w:id="1663657651">
      <w:marLeft w:val="0"/>
      <w:marRight w:val="0"/>
      <w:marTop w:val="0"/>
      <w:marBottom w:val="0"/>
      <w:divBdr>
        <w:top w:val="none" w:sz="0" w:space="0" w:color="auto"/>
        <w:left w:val="none" w:sz="0" w:space="0" w:color="auto"/>
        <w:bottom w:val="none" w:sz="0" w:space="0" w:color="auto"/>
        <w:right w:val="none" w:sz="0" w:space="0" w:color="auto"/>
      </w:divBdr>
    </w:div>
    <w:div w:id="1663657652">
      <w:marLeft w:val="0"/>
      <w:marRight w:val="0"/>
      <w:marTop w:val="0"/>
      <w:marBottom w:val="0"/>
      <w:divBdr>
        <w:top w:val="none" w:sz="0" w:space="0" w:color="auto"/>
        <w:left w:val="none" w:sz="0" w:space="0" w:color="auto"/>
        <w:bottom w:val="none" w:sz="0" w:space="0" w:color="auto"/>
        <w:right w:val="none" w:sz="0" w:space="0" w:color="auto"/>
      </w:divBdr>
      <w:divsChild>
        <w:div w:id="1663657653">
          <w:marLeft w:val="1166"/>
          <w:marRight w:val="0"/>
          <w:marTop w:val="86"/>
          <w:marBottom w:val="0"/>
          <w:divBdr>
            <w:top w:val="none" w:sz="0" w:space="0" w:color="auto"/>
            <w:left w:val="none" w:sz="0" w:space="0" w:color="auto"/>
            <w:bottom w:val="none" w:sz="0" w:space="0" w:color="auto"/>
            <w:right w:val="none" w:sz="0" w:space="0" w:color="auto"/>
          </w:divBdr>
        </w:div>
        <w:div w:id="1663657874">
          <w:marLeft w:val="1166"/>
          <w:marRight w:val="0"/>
          <w:marTop w:val="86"/>
          <w:marBottom w:val="0"/>
          <w:divBdr>
            <w:top w:val="none" w:sz="0" w:space="0" w:color="auto"/>
            <w:left w:val="none" w:sz="0" w:space="0" w:color="auto"/>
            <w:bottom w:val="none" w:sz="0" w:space="0" w:color="auto"/>
            <w:right w:val="none" w:sz="0" w:space="0" w:color="auto"/>
          </w:divBdr>
        </w:div>
      </w:divsChild>
    </w:div>
    <w:div w:id="1663657654">
      <w:marLeft w:val="0"/>
      <w:marRight w:val="0"/>
      <w:marTop w:val="0"/>
      <w:marBottom w:val="0"/>
      <w:divBdr>
        <w:top w:val="none" w:sz="0" w:space="0" w:color="auto"/>
        <w:left w:val="none" w:sz="0" w:space="0" w:color="auto"/>
        <w:bottom w:val="none" w:sz="0" w:space="0" w:color="auto"/>
        <w:right w:val="none" w:sz="0" w:space="0" w:color="auto"/>
      </w:divBdr>
    </w:div>
    <w:div w:id="1663657655">
      <w:marLeft w:val="0"/>
      <w:marRight w:val="0"/>
      <w:marTop w:val="0"/>
      <w:marBottom w:val="0"/>
      <w:divBdr>
        <w:top w:val="none" w:sz="0" w:space="0" w:color="auto"/>
        <w:left w:val="none" w:sz="0" w:space="0" w:color="auto"/>
        <w:bottom w:val="none" w:sz="0" w:space="0" w:color="auto"/>
        <w:right w:val="none" w:sz="0" w:space="0" w:color="auto"/>
      </w:divBdr>
    </w:div>
    <w:div w:id="1663657656">
      <w:marLeft w:val="0"/>
      <w:marRight w:val="0"/>
      <w:marTop w:val="0"/>
      <w:marBottom w:val="0"/>
      <w:divBdr>
        <w:top w:val="none" w:sz="0" w:space="0" w:color="auto"/>
        <w:left w:val="none" w:sz="0" w:space="0" w:color="auto"/>
        <w:bottom w:val="none" w:sz="0" w:space="0" w:color="auto"/>
        <w:right w:val="none" w:sz="0" w:space="0" w:color="auto"/>
      </w:divBdr>
    </w:div>
    <w:div w:id="1663657657">
      <w:marLeft w:val="0"/>
      <w:marRight w:val="0"/>
      <w:marTop w:val="0"/>
      <w:marBottom w:val="0"/>
      <w:divBdr>
        <w:top w:val="none" w:sz="0" w:space="0" w:color="auto"/>
        <w:left w:val="none" w:sz="0" w:space="0" w:color="auto"/>
        <w:bottom w:val="none" w:sz="0" w:space="0" w:color="auto"/>
        <w:right w:val="none" w:sz="0" w:space="0" w:color="auto"/>
      </w:divBdr>
    </w:div>
    <w:div w:id="1663657658">
      <w:marLeft w:val="0"/>
      <w:marRight w:val="0"/>
      <w:marTop w:val="0"/>
      <w:marBottom w:val="0"/>
      <w:divBdr>
        <w:top w:val="none" w:sz="0" w:space="0" w:color="auto"/>
        <w:left w:val="none" w:sz="0" w:space="0" w:color="auto"/>
        <w:bottom w:val="none" w:sz="0" w:space="0" w:color="auto"/>
        <w:right w:val="none" w:sz="0" w:space="0" w:color="auto"/>
      </w:divBdr>
    </w:div>
    <w:div w:id="1663657659">
      <w:marLeft w:val="0"/>
      <w:marRight w:val="0"/>
      <w:marTop w:val="0"/>
      <w:marBottom w:val="0"/>
      <w:divBdr>
        <w:top w:val="none" w:sz="0" w:space="0" w:color="auto"/>
        <w:left w:val="none" w:sz="0" w:space="0" w:color="auto"/>
        <w:bottom w:val="none" w:sz="0" w:space="0" w:color="auto"/>
        <w:right w:val="none" w:sz="0" w:space="0" w:color="auto"/>
      </w:divBdr>
    </w:div>
    <w:div w:id="1663657660">
      <w:marLeft w:val="0"/>
      <w:marRight w:val="0"/>
      <w:marTop w:val="0"/>
      <w:marBottom w:val="0"/>
      <w:divBdr>
        <w:top w:val="none" w:sz="0" w:space="0" w:color="auto"/>
        <w:left w:val="none" w:sz="0" w:space="0" w:color="auto"/>
        <w:bottom w:val="none" w:sz="0" w:space="0" w:color="auto"/>
        <w:right w:val="none" w:sz="0" w:space="0" w:color="auto"/>
      </w:divBdr>
    </w:div>
    <w:div w:id="1663657661">
      <w:marLeft w:val="0"/>
      <w:marRight w:val="0"/>
      <w:marTop w:val="0"/>
      <w:marBottom w:val="0"/>
      <w:divBdr>
        <w:top w:val="none" w:sz="0" w:space="0" w:color="auto"/>
        <w:left w:val="none" w:sz="0" w:space="0" w:color="auto"/>
        <w:bottom w:val="none" w:sz="0" w:space="0" w:color="auto"/>
        <w:right w:val="none" w:sz="0" w:space="0" w:color="auto"/>
      </w:divBdr>
    </w:div>
    <w:div w:id="1663657662">
      <w:marLeft w:val="0"/>
      <w:marRight w:val="0"/>
      <w:marTop w:val="0"/>
      <w:marBottom w:val="0"/>
      <w:divBdr>
        <w:top w:val="none" w:sz="0" w:space="0" w:color="auto"/>
        <w:left w:val="none" w:sz="0" w:space="0" w:color="auto"/>
        <w:bottom w:val="none" w:sz="0" w:space="0" w:color="auto"/>
        <w:right w:val="none" w:sz="0" w:space="0" w:color="auto"/>
      </w:divBdr>
    </w:div>
    <w:div w:id="1663657663">
      <w:marLeft w:val="0"/>
      <w:marRight w:val="0"/>
      <w:marTop w:val="0"/>
      <w:marBottom w:val="0"/>
      <w:divBdr>
        <w:top w:val="none" w:sz="0" w:space="0" w:color="auto"/>
        <w:left w:val="none" w:sz="0" w:space="0" w:color="auto"/>
        <w:bottom w:val="none" w:sz="0" w:space="0" w:color="auto"/>
        <w:right w:val="none" w:sz="0" w:space="0" w:color="auto"/>
      </w:divBdr>
    </w:div>
    <w:div w:id="1663657664">
      <w:marLeft w:val="0"/>
      <w:marRight w:val="0"/>
      <w:marTop w:val="0"/>
      <w:marBottom w:val="0"/>
      <w:divBdr>
        <w:top w:val="none" w:sz="0" w:space="0" w:color="auto"/>
        <w:left w:val="none" w:sz="0" w:space="0" w:color="auto"/>
        <w:bottom w:val="none" w:sz="0" w:space="0" w:color="auto"/>
        <w:right w:val="none" w:sz="0" w:space="0" w:color="auto"/>
      </w:divBdr>
    </w:div>
    <w:div w:id="1663657665">
      <w:marLeft w:val="0"/>
      <w:marRight w:val="0"/>
      <w:marTop w:val="0"/>
      <w:marBottom w:val="0"/>
      <w:divBdr>
        <w:top w:val="none" w:sz="0" w:space="0" w:color="auto"/>
        <w:left w:val="none" w:sz="0" w:space="0" w:color="auto"/>
        <w:bottom w:val="none" w:sz="0" w:space="0" w:color="auto"/>
        <w:right w:val="none" w:sz="0" w:space="0" w:color="auto"/>
      </w:divBdr>
    </w:div>
    <w:div w:id="1663657666">
      <w:marLeft w:val="0"/>
      <w:marRight w:val="0"/>
      <w:marTop w:val="0"/>
      <w:marBottom w:val="0"/>
      <w:divBdr>
        <w:top w:val="none" w:sz="0" w:space="0" w:color="auto"/>
        <w:left w:val="none" w:sz="0" w:space="0" w:color="auto"/>
        <w:bottom w:val="none" w:sz="0" w:space="0" w:color="auto"/>
        <w:right w:val="none" w:sz="0" w:space="0" w:color="auto"/>
      </w:divBdr>
    </w:div>
    <w:div w:id="1663657667">
      <w:marLeft w:val="0"/>
      <w:marRight w:val="0"/>
      <w:marTop w:val="0"/>
      <w:marBottom w:val="0"/>
      <w:divBdr>
        <w:top w:val="none" w:sz="0" w:space="0" w:color="auto"/>
        <w:left w:val="none" w:sz="0" w:space="0" w:color="auto"/>
        <w:bottom w:val="none" w:sz="0" w:space="0" w:color="auto"/>
        <w:right w:val="none" w:sz="0" w:space="0" w:color="auto"/>
      </w:divBdr>
    </w:div>
    <w:div w:id="1663657669">
      <w:marLeft w:val="0"/>
      <w:marRight w:val="0"/>
      <w:marTop w:val="0"/>
      <w:marBottom w:val="0"/>
      <w:divBdr>
        <w:top w:val="none" w:sz="0" w:space="0" w:color="auto"/>
        <w:left w:val="none" w:sz="0" w:space="0" w:color="auto"/>
        <w:bottom w:val="none" w:sz="0" w:space="0" w:color="auto"/>
        <w:right w:val="none" w:sz="0" w:space="0" w:color="auto"/>
      </w:divBdr>
    </w:div>
    <w:div w:id="1663657670">
      <w:marLeft w:val="0"/>
      <w:marRight w:val="0"/>
      <w:marTop w:val="0"/>
      <w:marBottom w:val="0"/>
      <w:divBdr>
        <w:top w:val="none" w:sz="0" w:space="0" w:color="auto"/>
        <w:left w:val="none" w:sz="0" w:space="0" w:color="auto"/>
        <w:bottom w:val="none" w:sz="0" w:space="0" w:color="auto"/>
        <w:right w:val="none" w:sz="0" w:space="0" w:color="auto"/>
      </w:divBdr>
      <w:divsChild>
        <w:div w:id="1663657765">
          <w:marLeft w:val="0"/>
          <w:marRight w:val="0"/>
          <w:marTop w:val="0"/>
          <w:marBottom w:val="0"/>
          <w:divBdr>
            <w:top w:val="none" w:sz="0" w:space="0" w:color="auto"/>
            <w:left w:val="none" w:sz="0" w:space="0" w:color="auto"/>
            <w:bottom w:val="none" w:sz="0" w:space="0" w:color="auto"/>
            <w:right w:val="none" w:sz="0" w:space="0" w:color="auto"/>
          </w:divBdr>
        </w:div>
      </w:divsChild>
    </w:div>
    <w:div w:id="1663657672">
      <w:marLeft w:val="0"/>
      <w:marRight w:val="0"/>
      <w:marTop w:val="0"/>
      <w:marBottom w:val="0"/>
      <w:divBdr>
        <w:top w:val="none" w:sz="0" w:space="0" w:color="auto"/>
        <w:left w:val="none" w:sz="0" w:space="0" w:color="auto"/>
        <w:bottom w:val="none" w:sz="0" w:space="0" w:color="auto"/>
        <w:right w:val="none" w:sz="0" w:space="0" w:color="auto"/>
      </w:divBdr>
    </w:div>
    <w:div w:id="1663657673">
      <w:marLeft w:val="0"/>
      <w:marRight w:val="0"/>
      <w:marTop w:val="0"/>
      <w:marBottom w:val="0"/>
      <w:divBdr>
        <w:top w:val="none" w:sz="0" w:space="0" w:color="auto"/>
        <w:left w:val="none" w:sz="0" w:space="0" w:color="auto"/>
        <w:bottom w:val="none" w:sz="0" w:space="0" w:color="auto"/>
        <w:right w:val="none" w:sz="0" w:space="0" w:color="auto"/>
      </w:divBdr>
    </w:div>
    <w:div w:id="1663657675">
      <w:marLeft w:val="0"/>
      <w:marRight w:val="0"/>
      <w:marTop w:val="0"/>
      <w:marBottom w:val="0"/>
      <w:divBdr>
        <w:top w:val="none" w:sz="0" w:space="0" w:color="auto"/>
        <w:left w:val="none" w:sz="0" w:space="0" w:color="auto"/>
        <w:bottom w:val="none" w:sz="0" w:space="0" w:color="auto"/>
        <w:right w:val="none" w:sz="0" w:space="0" w:color="auto"/>
      </w:divBdr>
    </w:div>
    <w:div w:id="1663657680">
      <w:marLeft w:val="0"/>
      <w:marRight w:val="0"/>
      <w:marTop w:val="0"/>
      <w:marBottom w:val="0"/>
      <w:divBdr>
        <w:top w:val="none" w:sz="0" w:space="0" w:color="auto"/>
        <w:left w:val="none" w:sz="0" w:space="0" w:color="auto"/>
        <w:bottom w:val="none" w:sz="0" w:space="0" w:color="auto"/>
        <w:right w:val="none" w:sz="0" w:space="0" w:color="auto"/>
      </w:divBdr>
    </w:div>
    <w:div w:id="1663657681">
      <w:marLeft w:val="0"/>
      <w:marRight w:val="0"/>
      <w:marTop w:val="0"/>
      <w:marBottom w:val="0"/>
      <w:divBdr>
        <w:top w:val="none" w:sz="0" w:space="0" w:color="auto"/>
        <w:left w:val="none" w:sz="0" w:space="0" w:color="auto"/>
        <w:bottom w:val="none" w:sz="0" w:space="0" w:color="auto"/>
        <w:right w:val="none" w:sz="0" w:space="0" w:color="auto"/>
      </w:divBdr>
      <w:divsChild>
        <w:div w:id="1663657820">
          <w:marLeft w:val="0"/>
          <w:marRight w:val="0"/>
          <w:marTop w:val="0"/>
          <w:marBottom w:val="0"/>
          <w:divBdr>
            <w:top w:val="none" w:sz="0" w:space="0" w:color="auto"/>
            <w:left w:val="none" w:sz="0" w:space="0" w:color="auto"/>
            <w:bottom w:val="none" w:sz="0" w:space="0" w:color="auto"/>
            <w:right w:val="none" w:sz="0" w:space="0" w:color="auto"/>
          </w:divBdr>
          <w:divsChild>
            <w:div w:id="16636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7685">
      <w:marLeft w:val="0"/>
      <w:marRight w:val="0"/>
      <w:marTop w:val="0"/>
      <w:marBottom w:val="0"/>
      <w:divBdr>
        <w:top w:val="none" w:sz="0" w:space="0" w:color="auto"/>
        <w:left w:val="none" w:sz="0" w:space="0" w:color="auto"/>
        <w:bottom w:val="none" w:sz="0" w:space="0" w:color="auto"/>
        <w:right w:val="none" w:sz="0" w:space="0" w:color="auto"/>
      </w:divBdr>
    </w:div>
    <w:div w:id="1663657691">
      <w:marLeft w:val="0"/>
      <w:marRight w:val="0"/>
      <w:marTop w:val="0"/>
      <w:marBottom w:val="0"/>
      <w:divBdr>
        <w:top w:val="none" w:sz="0" w:space="0" w:color="auto"/>
        <w:left w:val="none" w:sz="0" w:space="0" w:color="auto"/>
        <w:bottom w:val="none" w:sz="0" w:space="0" w:color="auto"/>
        <w:right w:val="none" w:sz="0" w:space="0" w:color="auto"/>
      </w:divBdr>
      <w:divsChild>
        <w:div w:id="1663657688">
          <w:marLeft w:val="0"/>
          <w:marRight w:val="0"/>
          <w:marTop w:val="0"/>
          <w:marBottom w:val="0"/>
          <w:divBdr>
            <w:top w:val="none" w:sz="0" w:space="0" w:color="auto"/>
            <w:left w:val="none" w:sz="0" w:space="0" w:color="auto"/>
            <w:bottom w:val="none" w:sz="0" w:space="0" w:color="auto"/>
            <w:right w:val="none" w:sz="0" w:space="0" w:color="auto"/>
          </w:divBdr>
        </w:div>
        <w:div w:id="1663657701">
          <w:marLeft w:val="0"/>
          <w:marRight w:val="0"/>
          <w:marTop w:val="0"/>
          <w:marBottom w:val="0"/>
          <w:divBdr>
            <w:top w:val="none" w:sz="0" w:space="0" w:color="auto"/>
            <w:left w:val="none" w:sz="0" w:space="0" w:color="auto"/>
            <w:bottom w:val="none" w:sz="0" w:space="0" w:color="auto"/>
            <w:right w:val="none" w:sz="0" w:space="0" w:color="auto"/>
          </w:divBdr>
        </w:div>
        <w:div w:id="1663657711">
          <w:marLeft w:val="0"/>
          <w:marRight w:val="0"/>
          <w:marTop w:val="0"/>
          <w:marBottom w:val="0"/>
          <w:divBdr>
            <w:top w:val="none" w:sz="0" w:space="0" w:color="auto"/>
            <w:left w:val="none" w:sz="0" w:space="0" w:color="auto"/>
            <w:bottom w:val="none" w:sz="0" w:space="0" w:color="auto"/>
            <w:right w:val="none" w:sz="0" w:space="0" w:color="auto"/>
          </w:divBdr>
        </w:div>
        <w:div w:id="1663657716">
          <w:marLeft w:val="0"/>
          <w:marRight w:val="0"/>
          <w:marTop w:val="0"/>
          <w:marBottom w:val="0"/>
          <w:divBdr>
            <w:top w:val="none" w:sz="0" w:space="0" w:color="auto"/>
            <w:left w:val="none" w:sz="0" w:space="0" w:color="auto"/>
            <w:bottom w:val="none" w:sz="0" w:space="0" w:color="auto"/>
            <w:right w:val="none" w:sz="0" w:space="0" w:color="auto"/>
          </w:divBdr>
        </w:div>
        <w:div w:id="1663657718">
          <w:marLeft w:val="0"/>
          <w:marRight w:val="0"/>
          <w:marTop w:val="0"/>
          <w:marBottom w:val="0"/>
          <w:divBdr>
            <w:top w:val="none" w:sz="0" w:space="0" w:color="auto"/>
            <w:left w:val="none" w:sz="0" w:space="0" w:color="auto"/>
            <w:bottom w:val="none" w:sz="0" w:space="0" w:color="auto"/>
            <w:right w:val="none" w:sz="0" w:space="0" w:color="auto"/>
          </w:divBdr>
        </w:div>
        <w:div w:id="1663657719">
          <w:marLeft w:val="0"/>
          <w:marRight w:val="0"/>
          <w:marTop w:val="0"/>
          <w:marBottom w:val="0"/>
          <w:divBdr>
            <w:top w:val="none" w:sz="0" w:space="0" w:color="auto"/>
            <w:left w:val="none" w:sz="0" w:space="0" w:color="auto"/>
            <w:bottom w:val="none" w:sz="0" w:space="0" w:color="auto"/>
            <w:right w:val="none" w:sz="0" w:space="0" w:color="auto"/>
          </w:divBdr>
        </w:div>
        <w:div w:id="1663657754">
          <w:marLeft w:val="0"/>
          <w:marRight w:val="0"/>
          <w:marTop w:val="0"/>
          <w:marBottom w:val="0"/>
          <w:divBdr>
            <w:top w:val="none" w:sz="0" w:space="0" w:color="auto"/>
            <w:left w:val="none" w:sz="0" w:space="0" w:color="auto"/>
            <w:bottom w:val="none" w:sz="0" w:space="0" w:color="auto"/>
            <w:right w:val="none" w:sz="0" w:space="0" w:color="auto"/>
          </w:divBdr>
        </w:div>
        <w:div w:id="1663657766">
          <w:marLeft w:val="0"/>
          <w:marRight w:val="0"/>
          <w:marTop w:val="0"/>
          <w:marBottom w:val="0"/>
          <w:divBdr>
            <w:top w:val="none" w:sz="0" w:space="0" w:color="auto"/>
            <w:left w:val="none" w:sz="0" w:space="0" w:color="auto"/>
            <w:bottom w:val="none" w:sz="0" w:space="0" w:color="auto"/>
            <w:right w:val="none" w:sz="0" w:space="0" w:color="auto"/>
          </w:divBdr>
        </w:div>
        <w:div w:id="1663657785">
          <w:marLeft w:val="0"/>
          <w:marRight w:val="0"/>
          <w:marTop w:val="0"/>
          <w:marBottom w:val="0"/>
          <w:divBdr>
            <w:top w:val="none" w:sz="0" w:space="0" w:color="auto"/>
            <w:left w:val="none" w:sz="0" w:space="0" w:color="auto"/>
            <w:bottom w:val="none" w:sz="0" w:space="0" w:color="auto"/>
            <w:right w:val="none" w:sz="0" w:space="0" w:color="auto"/>
          </w:divBdr>
        </w:div>
        <w:div w:id="1663657807">
          <w:marLeft w:val="0"/>
          <w:marRight w:val="0"/>
          <w:marTop w:val="0"/>
          <w:marBottom w:val="0"/>
          <w:divBdr>
            <w:top w:val="none" w:sz="0" w:space="0" w:color="auto"/>
            <w:left w:val="none" w:sz="0" w:space="0" w:color="auto"/>
            <w:bottom w:val="none" w:sz="0" w:space="0" w:color="auto"/>
            <w:right w:val="none" w:sz="0" w:space="0" w:color="auto"/>
          </w:divBdr>
        </w:div>
        <w:div w:id="1663657828">
          <w:marLeft w:val="0"/>
          <w:marRight w:val="0"/>
          <w:marTop w:val="0"/>
          <w:marBottom w:val="0"/>
          <w:divBdr>
            <w:top w:val="none" w:sz="0" w:space="0" w:color="auto"/>
            <w:left w:val="none" w:sz="0" w:space="0" w:color="auto"/>
            <w:bottom w:val="none" w:sz="0" w:space="0" w:color="auto"/>
            <w:right w:val="none" w:sz="0" w:space="0" w:color="auto"/>
          </w:divBdr>
        </w:div>
      </w:divsChild>
    </w:div>
    <w:div w:id="1663657692">
      <w:marLeft w:val="0"/>
      <w:marRight w:val="0"/>
      <w:marTop w:val="0"/>
      <w:marBottom w:val="0"/>
      <w:divBdr>
        <w:top w:val="none" w:sz="0" w:space="0" w:color="auto"/>
        <w:left w:val="none" w:sz="0" w:space="0" w:color="auto"/>
        <w:bottom w:val="none" w:sz="0" w:space="0" w:color="auto"/>
        <w:right w:val="none" w:sz="0" w:space="0" w:color="auto"/>
      </w:divBdr>
      <w:divsChild>
        <w:div w:id="1663657677">
          <w:marLeft w:val="0"/>
          <w:marRight w:val="0"/>
          <w:marTop w:val="0"/>
          <w:marBottom w:val="0"/>
          <w:divBdr>
            <w:top w:val="none" w:sz="0" w:space="0" w:color="auto"/>
            <w:left w:val="none" w:sz="0" w:space="0" w:color="auto"/>
            <w:bottom w:val="none" w:sz="0" w:space="0" w:color="auto"/>
            <w:right w:val="none" w:sz="0" w:space="0" w:color="auto"/>
          </w:divBdr>
        </w:div>
      </w:divsChild>
    </w:div>
    <w:div w:id="1663657694">
      <w:marLeft w:val="0"/>
      <w:marRight w:val="0"/>
      <w:marTop w:val="0"/>
      <w:marBottom w:val="0"/>
      <w:divBdr>
        <w:top w:val="none" w:sz="0" w:space="0" w:color="auto"/>
        <w:left w:val="none" w:sz="0" w:space="0" w:color="auto"/>
        <w:bottom w:val="none" w:sz="0" w:space="0" w:color="auto"/>
        <w:right w:val="none" w:sz="0" w:space="0" w:color="auto"/>
      </w:divBdr>
      <w:divsChild>
        <w:div w:id="1663657780">
          <w:marLeft w:val="0"/>
          <w:marRight w:val="0"/>
          <w:marTop w:val="0"/>
          <w:marBottom w:val="0"/>
          <w:divBdr>
            <w:top w:val="none" w:sz="0" w:space="0" w:color="auto"/>
            <w:left w:val="none" w:sz="0" w:space="0" w:color="auto"/>
            <w:bottom w:val="none" w:sz="0" w:space="0" w:color="auto"/>
            <w:right w:val="none" w:sz="0" w:space="0" w:color="auto"/>
          </w:divBdr>
          <w:divsChild>
            <w:div w:id="16636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7695">
      <w:marLeft w:val="0"/>
      <w:marRight w:val="0"/>
      <w:marTop w:val="0"/>
      <w:marBottom w:val="0"/>
      <w:divBdr>
        <w:top w:val="none" w:sz="0" w:space="0" w:color="auto"/>
        <w:left w:val="none" w:sz="0" w:space="0" w:color="auto"/>
        <w:bottom w:val="none" w:sz="0" w:space="0" w:color="auto"/>
        <w:right w:val="none" w:sz="0" w:space="0" w:color="auto"/>
      </w:divBdr>
      <w:divsChild>
        <w:div w:id="1663657804">
          <w:marLeft w:val="0"/>
          <w:marRight w:val="0"/>
          <w:marTop w:val="0"/>
          <w:marBottom w:val="0"/>
          <w:divBdr>
            <w:top w:val="none" w:sz="0" w:space="0" w:color="auto"/>
            <w:left w:val="none" w:sz="0" w:space="0" w:color="auto"/>
            <w:bottom w:val="none" w:sz="0" w:space="0" w:color="auto"/>
            <w:right w:val="none" w:sz="0" w:space="0" w:color="auto"/>
          </w:divBdr>
          <w:divsChild>
            <w:div w:id="1663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7696">
      <w:marLeft w:val="0"/>
      <w:marRight w:val="0"/>
      <w:marTop w:val="0"/>
      <w:marBottom w:val="0"/>
      <w:divBdr>
        <w:top w:val="none" w:sz="0" w:space="0" w:color="auto"/>
        <w:left w:val="none" w:sz="0" w:space="0" w:color="auto"/>
        <w:bottom w:val="none" w:sz="0" w:space="0" w:color="auto"/>
        <w:right w:val="none" w:sz="0" w:space="0" w:color="auto"/>
      </w:divBdr>
    </w:div>
    <w:div w:id="1663657700">
      <w:marLeft w:val="0"/>
      <w:marRight w:val="0"/>
      <w:marTop w:val="0"/>
      <w:marBottom w:val="0"/>
      <w:divBdr>
        <w:top w:val="none" w:sz="0" w:space="0" w:color="auto"/>
        <w:left w:val="none" w:sz="0" w:space="0" w:color="auto"/>
        <w:bottom w:val="none" w:sz="0" w:space="0" w:color="auto"/>
        <w:right w:val="none" w:sz="0" w:space="0" w:color="auto"/>
      </w:divBdr>
    </w:div>
    <w:div w:id="1663657703">
      <w:marLeft w:val="0"/>
      <w:marRight w:val="0"/>
      <w:marTop w:val="0"/>
      <w:marBottom w:val="0"/>
      <w:divBdr>
        <w:top w:val="none" w:sz="0" w:space="0" w:color="auto"/>
        <w:left w:val="none" w:sz="0" w:space="0" w:color="auto"/>
        <w:bottom w:val="none" w:sz="0" w:space="0" w:color="auto"/>
        <w:right w:val="none" w:sz="0" w:space="0" w:color="auto"/>
      </w:divBdr>
    </w:div>
    <w:div w:id="1663657706">
      <w:marLeft w:val="0"/>
      <w:marRight w:val="0"/>
      <w:marTop w:val="0"/>
      <w:marBottom w:val="0"/>
      <w:divBdr>
        <w:top w:val="none" w:sz="0" w:space="0" w:color="auto"/>
        <w:left w:val="none" w:sz="0" w:space="0" w:color="auto"/>
        <w:bottom w:val="none" w:sz="0" w:space="0" w:color="auto"/>
        <w:right w:val="none" w:sz="0" w:space="0" w:color="auto"/>
      </w:divBdr>
      <w:divsChild>
        <w:div w:id="1663657849">
          <w:marLeft w:val="0"/>
          <w:marRight w:val="0"/>
          <w:marTop w:val="0"/>
          <w:marBottom w:val="0"/>
          <w:divBdr>
            <w:top w:val="none" w:sz="0" w:space="0" w:color="auto"/>
            <w:left w:val="none" w:sz="0" w:space="0" w:color="auto"/>
            <w:bottom w:val="none" w:sz="0" w:space="0" w:color="auto"/>
            <w:right w:val="none" w:sz="0" w:space="0" w:color="auto"/>
          </w:divBdr>
          <w:divsChild>
            <w:div w:id="1663657725">
              <w:marLeft w:val="0"/>
              <w:marRight w:val="0"/>
              <w:marTop w:val="0"/>
              <w:marBottom w:val="0"/>
              <w:divBdr>
                <w:top w:val="none" w:sz="0" w:space="0" w:color="auto"/>
                <w:left w:val="none" w:sz="0" w:space="0" w:color="auto"/>
                <w:bottom w:val="none" w:sz="0" w:space="0" w:color="auto"/>
                <w:right w:val="none" w:sz="0" w:space="0" w:color="auto"/>
              </w:divBdr>
            </w:div>
            <w:div w:id="16636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7707">
      <w:marLeft w:val="0"/>
      <w:marRight w:val="0"/>
      <w:marTop w:val="0"/>
      <w:marBottom w:val="0"/>
      <w:divBdr>
        <w:top w:val="none" w:sz="0" w:space="0" w:color="auto"/>
        <w:left w:val="none" w:sz="0" w:space="0" w:color="auto"/>
        <w:bottom w:val="none" w:sz="0" w:space="0" w:color="auto"/>
        <w:right w:val="none" w:sz="0" w:space="0" w:color="auto"/>
      </w:divBdr>
      <w:divsChild>
        <w:div w:id="1663657769">
          <w:marLeft w:val="0"/>
          <w:marRight w:val="0"/>
          <w:marTop w:val="0"/>
          <w:marBottom w:val="0"/>
          <w:divBdr>
            <w:top w:val="none" w:sz="0" w:space="0" w:color="auto"/>
            <w:left w:val="none" w:sz="0" w:space="0" w:color="auto"/>
            <w:bottom w:val="none" w:sz="0" w:space="0" w:color="auto"/>
            <w:right w:val="none" w:sz="0" w:space="0" w:color="auto"/>
          </w:divBdr>
        </w:div>
      </w:divsChild>
    </w:div>
    <w:div w:id="1663657709">
      <w:marLeft w:val="0"/>
      <w:marRight w:val="0"/>
      <w:marTop w:val="0"/>
      <w:marBottom w:val="0"/>
      <w:divBdr>
        <w:top w:val="none" w:sz="0" w:space="0" w:color="auto"/>
        <w:left w:val="none" w:sz="0" w:space="0" w:color="auto"/>
        <w:bottom w:val="none" w:sz="0" w:space="0" w:color="auto"/>
        <w:right w:val="none" w:sz="0" w:space="0" w:color="auto"/>
      </w:divBdr>
      <w:divsChild>
        <w:div w:id="1663657844">
          <w:marLeft w:val="0"/>
          <w:marRight w:val="0"/>
          <w:marTop w:val="0"/>
          <w:marBottom w:val="0"/>
          <w:divBdr>
            <w:top w:val="none" w:sz="0" w:space="0" w:color="auto"/>
            <w:left w:val="none" w:sz="0" w:space="0" w:color="auto"/>
            <w:bottom w:val="none" w:sz="0" w:space="0" w:color="auto"/>
            <w:right w:val="none" w:sz="0" w:space="0" w:color="auto"/>
          </w:divBdr>
          <w:divsChild>
            <w:div w:id="16636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7712">
      <w:marLeft w:val="0"/>
      <w:marRight w:val="0"/>
      <w:marTop w:val="0"/>
      <w:marBottom w:val="0"/>
      <w:divBdr>
        <w:top w:val="none" w:sz="0" w:space="0" w:color="auto"/>
        <w:left w:val="none" w:sz="0" w:space="0" w:color="auto"/>
        <w:bottom w:val="none" w:sz="0" w:space="0" w:color="auto"/>
        <w:right w:val="none" w:sz="0" w:space="0" w:color="auto"/>
      </w:divBdr>
    </w:div>
    <w:div w:id="1663657713">
      <w:marLeft w:val="0"/>
      <w:marRight w:val="0"/>
      <w:marTop w:val="0"/>
      <w:marBottom w:val="0"/>
      <w:divBdr>
        <w:top w:val="none" w:sz="0" w:space="0" w:color="auto"/>
        <w:left w:val="none" w:sz="0" w:space="0" w:color="auto"/>
        <w:bottom w:val="none" w:sz="0" w:space="0" w:color="auto"/>
        <w:right w:val="none" w:sz="0" w:space="0" w:color="auto"/>
      </w:divBdr>
      <w:divsChild>
        <w:div w:id="1663657699">
          <w:marLeft w:val="0"/>
          <w:marRight w:val="0"/>
          <w:marTop w:val="0"/>
          <w:marBottom w:val="0"/>
          <w:divBdr>
            <w:top w:val="none" w:sz="0" w:space="0" w:color="auto"/>
            <w:left w:val="none" w:sz="0" w:space="0" w:color="auto"/>
            <w:bottom w:val="none" w:sz="0" w:space="0" w:color="auto"/>
            <w:right w:val="none" w:sz="0" w:space="0" w:color="auto"/>
          </w:divBdr>
        </w:div>
      </w:divsChild>
    </w:div>
    <w:div w:id="1663657714">
      <w:marLeft w:val="0"/>
      <w:marRight w:val="0"/>
      <w:marTop w:val="0"/>
      <w:marBottom w:val="0"/>
      <w:divBdr>
        <w:top w:val="none" w:sz="0" w:space="0" w:color="auto"/>
        <w:left w:val="none" w:sz="0" w:space="0" w:color="auto"/>
        <w:bottom w:val="none" w:sz="0" w:space="0" w:color="auto"/>
        <w:right w:val="none" w:sz="0" w:space="0" w:color="auto"/>
      </w:divBdr>
      <w:divsChild>
        <w:div w:id="1663657787">
          <w:marLeft w:val="0"/>
          <w:marRight w:val="0"/>
          <w:marTop w:val="0"/>
          <w:marBottom w:val="0"/>
          <w:divBdr>
            <w:top w:val="none" w:sz="0" w:space="0" w:color="auto"/>
            <w:left w:val="none" w:sz="0" w:space="0" w:color="auto"/>
            <w:bottom w:val="none" w:sz="0" w:space="0" w:color="auto"/>
            <w:right w:val="none" w:sz="0" w:space="0" w:color="auto"/>
          </w:divBdr>
        </w:div>
      </w:divsChild>
    </w:div>
    <w:div w:id="1663657717">
      <w:marLeft w:val="0"/>
      <w:marRight w:val="0"/>
      <w:marTop w:val="0"/>
      <w:marBottom w:val="0"/>
      <w:divBdr>
        <w:top w:val="none" w:sz="0" w:space="0" w:color="auto"/>
        <w:left w:val="none" w:sz="0" w:space="0" w:color="auto"/>
        <w:bottom w:val="none" w:sz="0" w:space="0" w:color="auto"/>
        <w:right w:val="none" w:sz="0" w:space="0" w:color="auto"/>
      </w:divBdr>
    </w:div>
    <w:div w:id="1663657720">
      <w:marLeft w:val="0"/>
      <w:marRight w:val="0"/>
      <w:marTop w:val="0"/>
      <w:marBottom w:val="0"/>
      <w:divBdr>
        <w:top w:val="none" w:sz="0" w:space="0" w:color="auto"/>
        <w:left w:val="none" w:sz="0" w:space="0" w:color="auto"/>
        <w:bottom w:val="none" w:sz="0" w:space="0" w:color="auto"/>
        <w:right w:val="none" w:sz="0" w:space="0" w:color="auto"/>
      </w:divBdr>
      <w:divsChild>
        <w:div w:id="1663657813">
          <w:marLeft w:val="0"/>
          <w:marRight w:val="0"/>
          <w:marTop w:val="0"/>
          <w:marBottom w:val="0"/>
          <w:divBdr>
            <w:top w:val="none" w:sz="0" w:space="0" w:color="auto"/>
            <w:left w:val="none" w:sz="0" w:space="0" w:color="auto"/>
            <w:bottom w:val="none" w:sz="0" w:space="0" w:color="auto"/>
            <w:right w:val="none" w:sz="0" w:space="0" w:color="auto"/>
          </w:divBdr>
          <w:divsChild>
            <w:div w:id="16636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7722">
      <w:marLeft w:val="0"/>
      <w:marRight w:val="0"/>
      <w:marTop w:val="0"/>
      <w:marBottom w:val="0"/>
      <w:divBdr>
        <w:top w:val="none" w:sz="0" w:space="0" w:color="auto"/>
        <w:left w:val="none" w:sz="0" w:space="0" w:color="auto"/>
        <w:bottom w:val="none" w:sz="0" w:space="0" w:color="auto"/>
        <w:right w:val="none" w:sz="0" w:space="0" w:color="auto"/>
      </w:divBdr>
    </w:div>
    <w:div w:id="1663657723">
      <w:marLeft w:val="0"/>
      <w:marRight w:val="0"/>
      <w:marTop w:val="0"/>
      <w:marBottom w:val="0"/>
      <w:divBdr>
        <w:top w:val="none" w:sz="0" w:space="0" w:color="auto"/>
        <w:left w:val="none" w:sz="0" w:space="0" w:color="auto"/>
        <w:bottom w:val="none" w:sz="0" w:space="0" w:color="auto"/>
        <w:right w:val="none" w:sz="0" w:space="0" w:color="auto"/>
      </w:divBdr>
      <w:divsChild>
        <w:div w:id="1663657837">
          <w:marLeft w:val="0"/>
          <w:marRight w:val="0"/>
          <w:marTop w:val="0"/>
          <w:marBottom w:val="0"/>
          <w:divBdr>
            <w:top w:val="none" w:sz="0" w:space="0" w:color="auto"/>
            <w:left w:val="none" w:sz="0" w:space="0" w:color="auto"/>
            <w:bottom w:val="none" w:sz="0" w:space="0" w:color="auto"/>
            <w:right w:val="none" w:sz="0" w:space="0" w:color="auto"/>
          </w:divBdr>
          <w:divsChild>
            <w:div w:id="16636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7728">
      <w:marLeft w:val="0"/>
      <w:marRight w:val="0"/>
      <w:marTop w:val="0"/>
      <w:marBottom w:val="0"/>
      <w:divBdr>
        <w:top w:val="none" w:sz="0" w:space="0" w:color="auto"/>
        <w:left w:val="none" w:sz="0" w:space="0" w:color="auto"/>
        <w:bottom w:val="none" w:sz="0" w:space="0" w:color="auto"/>
        <w:right w:val="none" w:sz="0" w:space="0" w:color="auto"/>
      </w:divBdr>
      <w:divsChild>
        <w:div w:id="1663657752">
          <w:marLeft w:val="0"/>
          <w:marRight w:val="0"/>
          <w:marTop w:val="0"/>
          <w:marBottom w:val="0"/>
          <w:divBdr>
            <w:top w:val="none" w:sz="0" w:space="0" w:color="auto"/>
            <w:left w:val="none" w:sz="0" w:space="0" w:color="auto"/>
            <w:bottom w:val="none" w:sz="0" w:space="0" w:color="auto"/>
            <w:right w:val="none" w:sz="0" w:space="0" w:color="auto"/>
          </w:divBdr>
          <w:divsChild>
            <w:div w:id="1663657795">
              <w:marLeft w:val="0"/>
              <w:marRight w:val="0"/>
              <w:marTop w:val="0"/>
              <w:marBottom w:val="0"/>
              <w:divBdr>
                <w:top w:val="none" w:sz="0" w:space="0" w:color="auto"/>
                <w:left w:val="none" w:sz="0" w:space="0" w:color="auto"/>
                <w:bottom w:val="none" w:sz="0" w:space="0" w:color="auto"/>
                <w:right w:val="none" w:sz="0" w:space="0" w:color="auto"/>
              </w:divBdr>
            </w:div>
          </w:divsChild>
        </w:div>
        <w:div w:id="1663657775">
          <w:marLeft w:val="0"/>
          <w:marRight w:val="0"/>
          <w:marTop w:val="0"/>
          <w:marBottom w:val="0"/>
          <w:divBdr>
            <w:top w:val="none" w:sz="0" w:space="0" w:color="auto"/>
            <w:left w:val="none" w:sz="0" w:space="0" w:color="auto"/>
            <w:bottom w:val="none" w:sz="0" w:space="0" w:color="auto"/>
            <w:right w:val="none" w:sz="0" w:space="0" w:color="auto"/>
          </w:divBdr>
        </w:div>
      </w:divsChild>
    </w:div>
    <w:div w:id="1663657729">
      <w:marLeft w:val="0"/>
      <w:marRight w:val="0"/>
      <w:marTop w:val="0"/>
      <w:marBottom w:val="0"/>
      <w:divBdr>
        <w:top w:val="none" w:sz="0" w:space="0" w:color="auto"/>
        <w:left w:val="none" w:sz="0" w:space="0" w:color="auto"/>
        <w:bottom w:val="none" w:sz="0" w:space="0" w:color="auto"/>
        <w:right w:val="none" w:sz="0" w:space="0" w:color="auto"/>
      </w:divBdr>
    </w:div>
    <w:div w:id="1663657730">
      <w:marLeft w:val="0"/>
      <w:marRight w:val="0"/>
      <w:marTop w:val="0"/>
      <w:marBottom w:val="0"/>
      <w:divBdr>
        <w:top w:val="none" w:sz="0" w:space="0" w:color="auto"/>
        <w:left w:val="none" w:sz="0" w:space="0" w:color="auto"/>
        <w:bottom w:val="none" w:sz="0" w:space="0" w:color="auto"/>
        <w:right w:val="none" w:sz="0" w:space="0" w:color="auto"/>
      </w:divBdr>
      <w:divsChild>
        <w:div w:id="1663657790">
          <w:marLeft w:val="0"/>
          <w:marRight w:val="0"/>
          <w:marTop w:val="0"/>
          <w:marBottom w:val="0"/>
          <w:divBdr>
            <w:top w:val="none" w:sz="0" w:space="0" w:color="auto"/>
            <w:left w:val="none" w:sz="0" w:space="0" w:color="auto"/>
            <w:bottom w:val="none" w:sz="0" w:space="0" w:color="auto"/>
            <w:right w:val="none" w:sz="0" w:space="0" w:color="auto"/>
          </w:divBdr>
        </w:div>
      </w:divsChild>
    </w:div>
    <w:div w:id="1663657733">
      <w:marLeft w:val="0"/>
      <w:marRight w:val="0"/>
      <w:marTop w:val="0"/>
      <w:marBottom w:val="0"/>
      <w:divBdr>
        <w:top w:val="none" w:sz="0" w:space="0" w:color="auto"/>
        <w:left w:val="none" w:sz="0" w:space="0" w:color="auto"/>
        <w:bottom w:val="none" w:sz="0" w:space="0" w:color="auto"/>
        <w:right w:val="none" w:sz="0" w:space="0" w:color="auto"/>
      </w:divBdr>
      <w:divsChild>
        <w:div w:id="1663657777">
          <w:marLeft w:val="0"/>
          <w:marRight w:val="0"/>
          <w:marTop w:val="0"/>
          <w:marBottom w:val="0"/>
          <w:divBdr>
            <w:top w:val="none" w:sz="0" w:space="0" w:color="auto"/>
            <w:left w:val="none" w:sz="0" w:space="0" w:color="auto"/>
            <w:bottom w:val="none" w:sz="0" w:space="0" w:color="auto"/>
            <w:right w:val="none" w:sz="0" w:space="0" w:color="auto"/>
          </w:divBdr>
        </w:div>
      </w:divsChild>
    </w:div>
    <w:div w:id="1663657734">
      <w:marLeft w:val="0"/>
      <w:marRight w:val="0"/>
      <w:marTop w:val="0"/>
      <w:marBottom w:val="0"/>
      <w:divBdr>
        <w:top w:val="none" w:sz="0" w:space="0" w:color="auto"/>
        <w:left w:val="none" w:sz="0" w:space="0" w:color="auto"/>
        <w:bottom w:val="none" w:sz="0" w:space="0" w:color="auto"/>
        <w:right w:val="none" w:sz="0" w:space="0" w:color="auto"/>
      </w:divBdr>
    </w:div>
    <w:div w:id="1663657735">
      <w:marLeft w:val="0"/>
      <w:marRight w:val="0"/>
      <w:marTop w:val="0"/>
      <w:marBottom w:val="0"/>
      <w:divBdr>
        <w:top w:val="none" w:sz="0" w:space="0" w:color="auto"/>
        <w:left w:val="none" w:sz="0" w:space="0" w:color="auto"/>
        <w:bottom w:val="none" w:sz="0" w:space="0" w:color="auto"/>
        <w:right w:val="none" w:sz="0" w:space="0" w:color="auto"/>
      </w:divBdr>
      <w:divsChild>
        <w:div w:id="1663657683">
          <w:marLeft w:val="0"/>
          <w:marRight w:val="0"/>
          <w:marTop w:val="0"/>
          <w:marBottom w:val="0"/>
          <w:divBdr>
            <w:top w:val="none" w:sz="0" w:space="0" w:color="auto"/>
            <w:left w:val="none" w:sz="0" w:space="0" w:color="auto"/>
            <w:bottom w:val="none" w:sz="0" w:space="0" w:color="auto"/>
            <w:right w:val="none" w:sz="0" w:space="0" w:color="auto"/>
          </w:divBdr>
        </w:div>
        <w:div w:id="1663657702">
          <w:marLeft w:val="0"/>
          <w:marRight w:val="0"/>
          <w:marTop w:val="0"/>
          <w:marBottom w:val="0"/>
          <w:divBdr>
            <w:top w:val="none" w:sz="0" w:space="0" w:color="auto"/>
            <w:left w:val="none" w:sz="0" w:space="0" w:color="auto"/>
            <w:bottom w:val="none" w:sz="0" w:space="0" w:color="auto"/>
            <w:right w:val="none" w:sz="0" w:space="0" w:color="auto"/>
          </w:divBdr>
          <w:divsChild>
            <w:div w:id="16636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7738">
      <w:marLeft w:val="0"/>
      <w:marRight w:val="0"/>
      <w:marTop w:val="0"/>
      <w:marBottom w:val="0"/>
      <w:divBdr>
        <w:top w:val="none" w:sz="0" w:space="0" w:color="auto"/>
        <w:left w:val="none" w:sz="0" w:space="0" w:color="auto"/>
        <w:bottom w:val="none" w:sz="0" w:space="0" w:color="auto"/>
        <w:right w:val="none" w:sz="0" w:space="0" w:color="auto"/>
      </w:divBdr>
      <w:divsChild>
        <w:div w:id="1663657684">
          <w:marLeft w:val="0"/>
          <w:marRight w:val="0"/>
          <w:marTop w:val="0"/>
          <w:marBottom w:val="0"/>
          <w:divBdr>
            <w:top w:val="none" w:sz="0" w:space="0" w:color="auto"/>
            <w:left w:val="none" w:sz="0" w:space="0" w:color="auto"/>
            <w:bottom w:val="none" w:sz="0" w:space="0" w:color="auto"/>
            <w:right w:val="none" w:sz="0" w:space="0" w:color="auto"/>
          </w:divBdr>
          <w:divsChild>
            <w:div w:id="1663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7739">
      <w:marLeft w:val="0"/>
      <w:marRight w:val="0"/>
      <w:marTop w:val="0"/>
      <w:marBottom w:val="0"/>
      <w:divBdr>
        <w:top w:val="none" w:sz="0" w:space="0" w:color="auto"/>
        <w:left w:val="none" w:sz="0" w:space="0" w:color="auto"/>
        <w:bottom w:val="none" w:sz="0" w:space="0" w:color="auto"/>
        <w:right w:val="none" w:sz="0" w:space="0" w:color="auto"/>
      </w:divBdr>
    </w:div>
    <w:div w:id="1663657740">
      <w:marLeft w:val="0"/>
      <w:marRight w:val="0"/>
      <w:marTop w:val="0"/>
      <w:marBottom w:val="0"/>
      <w:divBdr>
        <w:top w:val="none" w:sz="0" w:space="0" w:color="auto"/>
        <w:left w:val="none" w:sz="0" w:space="0" w:color="auto"/>
        <w:bottom w:val="none" w:sz="0" w:space="0" w:color="auto"/>
        <w:right w:val="none" w:sz="0" w:space="0" w:color="auto"/>
      </w:divBdr>
    </w:div>
    <w:div w:id="1663657741">
      <w:marLeft w:val="0"/>
      <w:marRight w:val="0"/>
      <w:marTop w:val="0"/>
      <w:marBottom w:val="0"/>
      <w:divBdr>
        <w:top w:val="none" w:sz="0" w:space="0" w:color="auto"/>
        <w:left w:val="none" w:sz="0" w:space="0" w:color="auto"/>
        <w:bottom w:val="none" w:sz="0" w:space="0" w:color="auto"/>
        <w:right w:val="none" w:sz="0" w:space="0" w:color="auto"/>
      </w:divBdr>
    </w:div>
    <w:div w:id="1663657742">
      <w:marLeft w:val="0"/>
      <w:marRight w:val="0"/>
      <w:marTop w:val="0"/>
      <w:marBottom w:val="0"/>
      <w:divBdr>
        <w:top w:val="none" w:sz="0" w:space="0" w:color="auto"/>
        <w:left w:val="none" w:sz="0" w:space="0" w:color="auto"/>
        <w:bottom w:val="none" w:sz="0" w:space="0" w:color="auto"/>
        <w:right w:val="none" w:sz="0" w:space="0" w:color="auto"/>
      </w:divBdr>
    </w:div>
    <w:div w:id="1663657743">
      <w:marLeft w:val="0"/>
      <w:marRight w:val="0"/>
      <w:marTop w:val="0"/>
      <w:marBottom w:val="0"/>
      <w:divBdr>
        <w:top w:val="none" w:sz="0" w:space="0" w:color="auto"/>
        <w:left w:val="none" w:sz="0" w:space="0" w:color="auto"/>
        <w:bottom w:val="none" w:sz="0" w:space="0" w:color="auto"/>
        <w:right w:val="none" w:sz="0" w:space="0" w:color="auto"/>
      </w:divBdr>
    </w:div>
    <w:div w:id="1663657747">
      <w:marLeft w:val="0"/>
      <w:marRight w:val="0"/>
      <w:marTop w:val="0"/>
      <w:marBottom w:val="0"/>
      <w:divBdr>
        <w:top w:val="none" w:sz="0" w:space="0" w:color="auto"/>
        <w:left w:val="none" w:sz="0" w:space="0" w:color="auto"/>
        <w:bottom w:val="none" w:sz="0" w:space="0" w:color="auto"/>
        <w:right w:val="none" w:sz="0" w:space="0" w:color="auto"/>
      </w:divBdr>
    </w:div>
    <w:div w:id="1663657748">
      <w:marLeft w:val="0"/>
      <w:marRight w:val="0"/>
      <w:marTop w:val="0"/>
      <w:marBottom w:val="0"/>
      <w:divBdr>
        <w:top w:val="none" w:sz="0" w:space="0" w:color="auto"/>
        <w:left w:val="none" w:sz="0" w:space="0" w:color="auto"/>
        <w:bottom w:val="none" w:sz="0" w:space="0" w:color="auto"/>
        <w:right w:val="none" w:sz="0" w:space="0" w:color="auto"/>
      </w:divBdr>
    </w:div>
    <w:div w:id="1663657749">
      <w:marLeft w:val="0"/>
      <w:marRight w:val="0"/>
      <w:marTop w:val="0"/>
      <w:marBottom w:val="0"/>
      <w:divBdr>
        <w:top w:val="none" w:sz="0" w:space="0" w:color="auto"/>
        <w:left w:val="none" w:sz="0" w:space="0" w:color="auto"/>
        <w:bottom w:val="none" w:sz="0" w:space="0" w:color="auto"/>
        <w:right w:val="none" w:sz="0" w:space="0" w:color="auto"/>
      </w:divBdr>
      <w:divsChild>
        <w:div w:id="1663657737">
          <w:marLeft w:val="0"/>
          <w:marRight w:val="0"/>
          <w:marTop w:val="0"/>
          <w:marBottom w:val="0"/>
          <w:divBdr>
            <w:top w:val="none" w:sz="0" w:space="0" w:color="auto"/>
            <w:left w:val="none" w:sz="0" w:space="0" w:color="auto"/>
            <w:bottom w:val="none" w:sz="0" w:space="0" w:color="auto"/>
            <w:right w:val="none" w:sz="0" w:space="0" w:color="auto"/>
          </w:divBdr>
        </w:div>
      </w:divsChild>
    </w:div>
    <w:div w:id="1663657750">
      <w:marLeft w:val="0"/>
      <w:marRight w:val="0"/>
      <w:marTop w:val="0"/>
      <w:marBottom w:val="0"/>
      <w:divBdr>
        <w:top w:val="none" w:sz="0" w:space="0" w:color="auto"/>
        <w:left w:val="none" w:sz="0" w:space="0" w:color="auto"/>
        <w:bottom w:val="none" w:sz="0" w:space="0" w:color="auto"/>
        <w:right w:val="none" w:sz="0" w:space="0" w:color="auto"/>
      </w:divBdr>
    </w:div>
    <w:div w:id="1663657751">
      <w:marLeft w:val="0"/>
      <w:marRight w:val="0"/>
      <w:marTop w:val="0"/>
      <w:marBottom w:val="0"/>
      <w:divBdr>
        <w:top w:val="none" w:sz="0" w:space="0" w:color="auto"/>
        <w:left w:val="none" w:sz="0" w:space="0" w:color="auto"/>
        <w:bottom w:val="none" w:sz="0" w:space="0" w:color="auto"/>
        <w:right w:val="none" w:sz="0" w:space="0" w:color="auto"/>
      </w:divBdr>
    </w:div>
    <w:div w:id="1663657753">
      <w:marLeft w:val="0"/>
      <w:marRight w:val="0"/>
      <w:marTop w:val="0"/>
      <w:marBottom w:val="0"/>
      <w:divBdr>
        <w:top w:val="none" w:sz="0" w:space="0" w:color="auto"/>
        <w:left w:val="none" w:sz="0" w:space="0" w:color="auto"/>
        <w:bottom w:val="none" w:sz="0" w:space="0" w:color="auto"/>
        <w:right w:val="none" w:sz="0" w:space="0" w:color="auto"/>
      </w:divBdr>
      <w:divsChild>
        <w:div w:id="1663657686">
          <w:marLeft w:val="0"/>
          <w:marRight w:val="0"/>
          <w:marTop w:val="0"/>
          <w:marBottom w:val="0"/>
          <w:divBdr>
            <w:top w:val="none" w:sz="0" w:space="0" w:color="auto"/>
            <w:left w:val="none" w:sz="0" w:space="0" w:color="auto"/>
            <w:bottom w:val="none" w:sz="0" w:space="0" w:color="auto"/>
            <w:right w:val="none" w:sz="0" w:space="0" w:color="auto"/>
          </w:divBdr>
        </w:div>
      </w:divsChild>
    </w:div>
    <w:div w:id="1663657757">
      <w:marLeft w:val="0"/>
      <w:marRight w:val="0"/>
      <w:marTop w:val="0"/>
      <w:marBottom w:val="0"/>
      <w:divBdr>
        <w:top w:val="none" w:sz="0" w:space="0" w:color="auto"/>
        <w:left w:val="none" w:sz="0" w:space="0" w:color="auto"/>
        <w:bottom w:val="none" w:sz="0" w:space="0" w:color="auto"/>
        <w:right w:val="none" w:sz="0" w:space="0" w:color="auto"/>
      </w:divBdr>
    </w:div>
    <w:div w:id="1663657759">
      <w:marLeft w:val="0"/>
      <w:marRight w:val="0"/>
      <w:marTop w:val="0"/>
      <w:marBottom w:val="0"/>
      <w:divBdr>
        <w:top w:val="none" w:sz="0" w:space="0" w:color="auto"/>
        <w:left w:val="none" w:sz="0" w:space="0" w:color="auto"/>
        <w:bottom w:val="none" w:sz="0" w:space="0" w:color="auto"/>
        <w:right w:val="none" w:sz="0" w:space="0" w:color="auto"/>
      </w:divBdr>
    </w:div>
    <w:div w:id="1663657760">
      <w:marLeft w:val="0"/>
      <w:marRight w:val="0"/>
      <w:marTop w:val="0"/>
      <w:marBottom w:val="0"/>
      <w:divBdr>
        <w:top w:val="none" w:sz="0" w:space="0" w:color="auto"/>
        <w:left w:val="none" w:sz="0" w:space="0" w:color="auto"/>
        <w:bottom w:val="none" w:sz="0" w:space="0" w:color="auto"/>
        <w:right w:val="none" w:sz="0" w:space="0" w:color="auto"/>
      </w:divBdr>
    </w:div>
    <w:div w:id="1663657761">
      <w:marLeft w:val="0"/>
      <w:marRight w:val="0"/>
      <w:marTop w:val="0"/>
      <w:marBottom w:val="0"/>
      <w:divBdr>
        <w:top w:val="none" w:sz="0" w:space="0" w:color="auto"/>
        <w:left w:val="none" w:sz="0" w:space="0" w:color="auto"/>
        <w:bottom w:val="none" w:sz="0" w:space="0" w:color="auto"/>
        <w:right w:val="none" w:sz="0" w:space="0" w:color="auto"/>
      </w:divBdr>
    </w:div>
    <w:div w:id="1663657762">
      <w:marLeft w:val="0"/>
      <w:marRight w:val="0"/>
      <w:marTop w:val="0"/>
      <w:marBottom w:val="0"/>
      <w:divBdr>
        <w:top w:val="none" w:sz="0" w:space="0" w:color="auto"/>
        <w:left w:val="none" w:sz="0" w:space="0" w:color="auto"/>
        <w:bottom w:val="none" w:sz="0" w:space="0" w:color="auto"/>
        <w:right w:val="none" w:sz="0" w:space="0" w:color="auto"/>
      </w:divBdr>
    </w:div>
    <w:div w:id="1663657764">
      <w:marLeft w:val="0"/>
      <w:marRight w:val="0"/>
      <w:marTop w:val="0"/>
      <w:marBottom w:val="0"/>
      <w:divBdr>
        <w:top w:val="none" w:sz="0" w:space="0" w:color="auto"/>
        <w:left w:val="none" w:sz="0" w:space="0" w:color="auto"/>
        <w:bottom w:val="none" w:sz="0" w:space="0" w:color="auto"/>
        <w:right w:val="none" w:sz="0" w:space="0" w:color="auto"/>
      </w:divBdr>
    </w:div>
    <w:div w:id="1663657768">
      <w:marLeft w:val="0"/>
      <w:marRight w:val="0"/>
      <w:marTop w:val="0"/>
      <w:marBottom w:val="0"/>
      <w:divBdr>
        <w:top w:val="none" w:sz="0" w:space="0" w:color="auto"/>
        <w:left w:val="none" w:sz="0" w:space="0" w:color="auto"/>
        <w:bottom w:val="none" w:sz="0" w:space="0" w:color="auto"/>
        <w:right w:val="none" w:sz="0" w:space="0" w:color="auto"/>
      </w:divBdr>
    </w:div>
    <w:div w:id="1663657771">
      <w:marLeft w:val="0"/>
      <w:marRight w:val="0"/>
      <w:marTop w:val="0"/>
      <w:marBottom w:val="0"/>
      <w:divBdr>
        <w:top w:val="none" w:sz="0" w:space="0" w:color="auto"/>
        <w:left w:val="none" w:sz="0" w:space="0" w:color="auto"/>
        <w:bottom w:val="none" w:sz="0" w:space="0" w:color="auto"/>
        <w:right w:val="none" w:sz="0" w:space="0" w:color="auto"/>
      </w:divBdr>
    </w:div>
    <w:div w:id="1663657772">
      <w:marLeft w:val="0"/>
      <w:marRight w:val="0"/>
      <w:marTop w:val="0"/>
      <w:marBottom w:val="0"/>
      <w:divBdr>
        <w:top w:val="none" w:sz="0" w:space="0" w:color="auto"/>
        <w:left w:val="none" w:sz="0" w:space="0" w:color="auto"/>
        <w:bottom w:val="none" w:sz="0" w:space="0" w:color="auto"/>
        <w:right w:val="none" w:sz="0" w:space="0" w:color="auto"/>
      </w:divBdr>
    </w:div>
    <w:div w:id="1663657773">
      <w:marLeft w:val="0"/>
      <w:marRight w:val="0"/>
      <w:marTop w:val="0"/>
      <w:marBottom w:val="0"/>
      <w:divBdr>
        <w:top w:val="none" w:sz="0" w:space="0" w:color="auto"/>
        <w:left w:val="none" w:sz="0" w:space="0" w:color="auto"/>
        <w:bottom w:val="none" w:sz="0" w:space="0" w:color="auto"/>
        <w:right w:val="none" w:sz="0" w:space="0" w:color="auto"/>
      </w:divBdr>
      <w:divsChild>
        <w:div w:id="1663657746">
          <w:marLeft w:val="0"/>
          <w:marRight w:val="0"/>
          <w:marTop w:val="0"/>
          <w:marBottom w:val="0"/>
          <w:divBdr>
            <w:top w:val="none" w:sz="0" w:space="0" w:color="auto"/>
            <w:left w:val="none" w:sz="0" w:space="0" w:color="auto"/>
            <w:bottom w:val="none" w:sz="0" w:space="0" w:color="auto"/>
            <w:right w:val="none" w:sz="0" w:space="0" w:color="auto"/>
          </w:divBdr>
          <w:divsChild>
            <w:div w:id="16636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7774">
      <w:marLeft w:val="0"/>
      <w:marRight w:val="0"/>
      <w:marTop w:val="0"/>
      <w:marBottom w:val="0"/>
      <w:divBdr>
        <w:top w:val="none" w:sz="0" w:space="0" w:color="auto"/>
        <w:left w:val="none" w:sz="0" w:space="0" w:color="auto"/>
        <w:bottom w:val="none" w:sz="0" w:space="0" w:color="auto"/>
        <w:right w:val="none" w:sz="0" w:space="0" w:color="auto"/>
      </w:divBdr>
    </w:div>
    <w:div w:id="1663657776">
      <w:marLeft w:val="0"/>
      <w:marRight w:val="0"/>
      <w:marTop w:val="0"/>
      <w:marBottom w:val="0"/>
      <w:divBdr>
        <w:top w:val="none" w:sz="0" w:space="0" w:color="auto"/>
        <w:left w:val="none" w:sz="0" w:space="0" w:color="auto"/>
        <w:bottom w:val="none" w:sz="0" w:space="0" w:color="auto"/>
        <w:right w:val="none" w:sz="0" w:space="0" w:color="auto"/>
      </w:divBdr>
    </w:div>
    <w:div w:id="1663657778">
      <w:marLeft w:val="0"/>
      <w:marRight w:val="0"/>
      <w:marTop w:val="0"/>
      <w:marBottom w:val="0"/>
      <w:divBdr>
        <w:top w:val="none" w:sz="0" w:space="0" w:color="auto"/>
        <w:left w:val="none" w:sz="0" w:space="0" w:color="auto"/>
        <w:bottom w:val="none" w:sz="0" w:space="0" w:color="auto"/>
        <w:right w:val="none" w:sz="0" w:space="0" w:color="auto"/>
      </w:divBdr>
    </w:div>
    <w:div w:id="1663657779">
      <w:marLeft w:val="0"/>
      <w:marRight w:val="0"/>
      <w:marTop w:val="0"/>
      <w:marBottom w:val="0"/>
      <w:divBdr>
        <w:top w:val="none" w:sz="0" w:space="0" w:color="auto"/>
        <w:left w:val="none" w:sz="0" w:space="0" w:color="auto"/>
        <w:bottom w:val="none" w:sz="0" w:space="0" w:color="auto"/>
        <w:right w:val="none" w:sz="0" w:space="0" w:color="auto"/>
      </w:divBdr>
    </w:div>
    <w:div w:id="1663657781">
      <w:marLeft w:val="0"/>
      <w:marRight w:val="0"/>
      <w:marTop w:val="0"/>
      <w:marBottom w:val="0"/>
      <w:divBdr>
        <w:top w:val="none" w:sz="0" w:space="0" w:color="auto"/>
        <w:left w:val="none" w:sz="0" w:space="0" w:color="auto"/>
        <w:bottom w:val="none" w:sz="0" w:space="0" w:color="auto"/>
        <w:right w:val="none" w:sz="0" w:space="0" w:color="auto"/>
      </w:divBdr>
    </w:div>
    <w:div w:id="1663657782">
      <w:marLeft w:val="0"/>
      <w:marRight w:val="0"/>
      <w:marTop w:val="0"/>
      <w:marBottom w:val="0"/>
      <w:divBdr>
        <w:top w:val="none" w:sz="0" w:space="0" w:color="auto"/>
        <w:left w:val="none" w:sz="0" w:space="0" w:color="auto"/>
        <w:bottom w:val="none" w:sz="0" w:space="0" w:color="auto"/>
        <w:right w:val="none" w:sz="0" w:space="0" w:color="auto"/>
      </w:divBdr>
      <w:divsChild>
        <w:div w:id="1663657792">
          <w:marLeft w:val="0"/>
          <w:marRight w:val="0"/>
          <w:marTop w:val="0"/>
          <w:marBottom w:val="0"/>
          <w:divBdr>
            <w:top w:val="none" w:sz="0" w:space="0" w:color="auto"/>
            <w:left w:val="none" w:sz="0" w:space="0" w:color="auto"/>
            <w:bottom w:val="none" w:sz="0" w:space="0" w:color="auto"/>
            <w:right w:val="none" w:sz="0" w:space="0" w:color="auto"/>
          </w:divBdr>
        </w:div>
      </w:divsChild>
    </w:div>
    <w:div w:id="1663657783">
      <w:marLeft w:val="0"/>
      <w:marRight w:val="0"/>
      <w:marTop w:val="0"/>
      <w:marBottom w:val="0"/>
      <w:divBdr>
        <w:top w:val="none" w:sz="0" w:space="0" w:color="auto"/>
        <w:left w:val="none" w:sz="0" w:space="0" w:color="auto"/>
        <w:bottom w:val="none" w:sz="0" w:space="0" w:color="auto"/>
        <w:right w:val="none" w:sz="0" w:space="0" w:color="auto"/>
      </w:divBdr>
    </w:div>
    <w:div w:id="1663657784">
      <w:marLeft w:val="0"/>
      <w:marRight w:val="0"/>
      <w:marTop w:val="0"/>
      <w:marBottom w:val="0"/>
      <w:divBdr>
        <w:top w:val="none" w:sz="0" w:space="0" w:color="auto"/>
        <w:left w:val="none" w:sz="0" w:space="0" w:color="auto"/>
        <w:bottom w:val="none" w:sz="0" w:space="0" w:color="auto"/>
        <w:right w:val="none" w:sz="0" w:space="0" w:color="auto"/>
      </w:divBdr>
    </w:div>
    <w:div w:id="1663657789">
      <w:marLeft w:val="0"/>
      <w:marRight w:val="0"/>
      <w:marTop w:val="0"/>
      <w:marBottom w:val="0"/>
      <w:divBdr>
        <w:top w:val="none" w:sz="0" w:space="0" w:color="auto"/>
        <w:left w:val="none" w:sz="0" w:space="0" w:color="auto"/>
        <w:bottom w:val="none" w:sz="0" w:space="0" w:color="auto"/>
        <w:right w:val="none" w:sz="0" w:space="0" w:color="auto"/>
      </w:divBdr>
      <w:divsChild>
        <w:div w:id="1663657727">
          <w:marLeft w:val="0"/>
          <w:marRight w:val="0"/>
          <w:marTop w:val="0"/>
          <w:marBottom w:val="0"/>
          <w:divBdr>
            <w:top w:val="none" w:sz="0" w:space="0" w:color="auto"/>
            <w:left w:val="none" w:sz="0" w:space="0" w:color="auto"/>
            <w:bottom w:val="none" w:sz="0" w:space="0" w:color="auto"/>
            <w:right w:val="none" w:sz="0" w:space="0" w:color="auto"/>
          </w:divBdr>
        </w:div>
      </w:divsChild>
    </w:div>
    <w:div w:id="1663657791">
      <w:marLeft w:val="0"/>
      <w:marRight w:val="0"/>
      <w:marTop w:val="0"/>
      <w:marBottom w:val="0"/>
      <w:divBdr>
        <w:top w:val="none" w:sz="0" w:space="0" w:color="auto"/>
        <w:left w:val="none" w:sz="0" w:space="0" w:color="auto"/>
        <w:bottom w:val="none" w:sz="0" w:space="0" w:color="auto"/>
        <w:right w:val="none" w:sz="0" w:space="0" w:color="auto"/>
      </w:divBdr>
    </w:div>
    <w:div w:id="1663657794">
      <w:marLeft w:val="0"/>
      <w:marRight w:val="0"/>
      <w:marTop w:val="0"/>
      <w:marBottom w:val="0"/>
      <w:divBdr>
        <w:top w:val="none" w:sz="0" w:space="0" w:color="auto"/>
        <w:left w:val="none" w:sz="0" w:space="0" w:color="auto"/>
        <w:bottom w:val="none" w:sz="0" w:space="0" w:color="auto"/>
        <w:right w:val="none" w:sz="0" w:space="0" w:color="auto"/>
      </w:divBdr>
      <w:divsChild>
        <w:div w:id="1663657788">
          <w:marLeft w:val="0"/>
          <w:marRight w:val="0"/>
          <w:marTop w:val="0"/>
          <w:marBottom w:val="0"/>
          <w:divBdr>
            <w:top w:val="none" w:sz="0" w:space="0" w:color="auto"/>
            <w:left w:val="none" w:sz="0" w:space="0" w:color="auto"/>
            <w:bottom w:val="none" w:sz="0" w:space="0" w:color="auto"/>
            <w:right w:val="none" w:sz="0" w:space="0" w:color="auto"/>
          </w:divBdr>
        </w:div>
      </w:divsChild>
    </w:div>
    <w:div w:id="1663657796">
      <w:marLeft w:val="0"/>
      <w:marRight w:val="0"/>
      <w:marTop w:val="0"/>
      <w:marBottom w:val="0"/>
      <w:divBdr>
        <w:top w:val="none" w:sz="0" w:space="0" w:color="auto"/>
        <w:left w:val="none" w:sz="0" w:space="0" w:color="auto"/>
        <w:bottom w:val="none" w:sz="0" w:space="0" w:color="auto"/>
        <w:right w:val="none" w:sz="0" w:space="0" w:color="auto"/>
      </w:divBdr>
    </w:div>
    <w:div w:id="1663657797">
      <w:marLeft w:val="0"/>
      <w:marRight w:val="0"/>
      <w:marTop w:val="0"/>
      <w:marBottom w:val="0"/>
      <w:divBdr>
        <w:top w:val="none" w:sz="0" w:space="0" w:color="auto"/>
        <w:left w:val="none" w:sz="0" w:space="0" w:color="auto"/>
        <w:bottom w:val="none" w:sz="0" w:space="0" w:color="auto"/>
        <w:right w:val="none" w:sz="0" w:space="0" w:color="auto"/>
      </w:divBdr>
    </w:div>
    <w:div w:id="1663657799">
      <w:marLeft w:val="0"/>
      <w:marRight w:val="0"/>
      <w:marTop w:val="0"/>
      <w:marBottom w:val="0"/>
      <w:divBdr>
        <w:top w:val="none" w:sz="0" w:space="0" w:color="auto"/>
        <w:left w:val="none" w:sz="0" w:space="0" w:color="auto"/>
        <w:bottom w:val="none" w:sz="0" w:space="0" w:color="auto"/>
        <w:right w:val="none" w:sz="0" w:space="0" w:color="auto"/>
      </w:divBdr>
      <w:divsChild>
        <w:div w:id="1663657833">
          <w:marLeft w:val="0"/>
          <w:marRight w:val="0"/>
          <w:marTop w:val="0"/>
          <w:marBottom w:val="0"/>
          <w:divBdr>
            <w:top w:val="none" w:sz="0" w:space="0" w:color="auto"/>
            <w:left w:val="none" w:sz="0" w:space="0" w:color="auto"/>
            <w:bottom w:val="none" w:sz="0" w:space="0" w:color="auto"/>
            <w:right w:val="none" w:sz="0" w:space="0" w:color="auto"/>
          </w:divBdr>
        </w:div>
      </w:divsChild>
    </w:div>
    <w:div w:id="1663657801">
      <w:marLeft w:val="0"/>
      <w:marRight w:val="0"/>
      <w:marTop w:val="0"/>
      <w:marBottom w:val="0"/>
      <w:divBdr>
        <w:top w:val="none" w:sz="0" w:space="0" w:color="auto"/>
        <w:left w:val="none" w:sz="0" w:space="0" w:color="auto"/>
        <w:bottom w:val="none" w:sz="0" w:space="0" w:color="auto"/>
        <w:right w:val="none" w:sz="0" w:space="0" w:color="auto"/>
      </w:divBdr>
    </w:div>
    <w:div w:id="1663657802">
      <w:marLeft w:val="0"/>
      <w:marRight w:val="0"/>
      <w:marTop w:val="0"/>
      <w:marBottom w:val="0"/>
      <w:divBdr>
        <w:top w:val="none" w:sz="0" w:space="0" w:color="auto"/>
        <w:left w:val="none" w:sz="0" w:space="0" w:color="auto"/>
        <w:bottom w:val="none" w:sz="0" w:space="0" w:color="auto"/>
        <w:right w:val="none" w:sz="0" w:space="0" w:color="auto"/>
      </w:divBdr>
    </w:div>
    <w:div w:id="1663657805">
      <w:marLeft w:val="0"/>
      <w:marRight w:val="0"/>
      <w:marTop w:val="0"/>
      <w:marBottom w:val="0"/>
      <w:divBdr>
        <w:top w:val="none" w:sz="0" w:space="0" w:color="auto"/>
        <w:left w:val="none" w:sz="0" w:space="0" w:color="auto"/>
        <w:bottom w:val="none" w:sz="0" w:space="0" w:color="auto"/>
        <w:right w:val="none" w:sz="0" w:space="0" w:color="auto"/>
      </w:divBdr>
      <w:divsChild>
        <w:div w:id="1663657693">
          <w:marLeft w:val="0"/>
          <w:marRight w:val="0"/>
          <w:marTop w:val="0"/>
          <w:marBottom w:val="0"/>
          <w:divBdr>
            <w:top w:val="none" w:sz="0" w:space="0" w:color="auto"/>
            <w:left w:val="none" w:sz="0" w:space="0" w:color="auto"/>
            <w:bottom w:val="none" w:sz="0" w:space="0" w:color="auto"/>
            <w:right w:val="none" w:sz="0" w:space="0" w:color="auto"/>
          </w:divBdr>
          <w:divsChild>
            <w:div w:id="16636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7810">
      <w:marLeft w:val="0"/>
      <w:marRight w:val="0"/>
      <w:marTop w:val="0"/>
      <w:marBottom w:val="0"/>
      <w:divBdr>
        <w:top w:val="none" w:sz="0" w:space="0" w:color="auto"/>
        <w:left w:val="none" w:sz="0" w:space="0" w:color="auto"/>
        <w:bottom w:val="none" w:sz="0" w:space="0" w:color="auto"/>
        <w:right w:val="none" w:sz="0" w:space="0" w:color="auto"/>
      </w:divBdr>
      <w:divsChild>
        <w:div w:id="1663657674">
          <w:marLeft w:val="0"/>
          <w:marRight w:val="0"/>
          <w:marTop w:val="0"/>
          <w:marBottom w:val="0"/>
          <w:divBdr>
            <w:top w:val="none" w:sz="0" w:space="0" w:color="auto"/>
            <w:left w:val="none" w:sz="0" w:space="0" w:color="auto"/>
            <w:bottom w:val="none" w:sz="0" w:space="0" w:color="auto"/>
            <w:right w:val="none" w:sz="0" w:space="0" w:color="auto"/>
          </w:divBdr>
        </w:div>
        <w:div w:id="1663657731">
          <w:marLeft w:val="0"/>
          <w:marRight w:val="0"/>
          <w:marTop w:val="0"/>
          <w:marBottom w:val="0"/>
          <w:divBdr>
            <w:top w:val="none" w:sz="0" w:space="0" w:color="auto"/>
            <w:left w:val="none" w:sz="0" w:space="0" w:color="auto"/>
            <w:bottom w:val="none" w:sz="0" w:space="0" w:color="auto"/>
            <w:right w:val="none" w:sz="0" w:space="0" w:color="auto"/>
          </w:divBdr>
        </w:div>
      </w:divsChild>
    </w:div>
    <w:div w:id="1663657811">
      <w:marLeft w:val="0"/>
      <w:marRight w:val="0"/>
      <w:marTop w:val="0"/>
      <w:marBottom w:val="0"/>
      <w:divBdr>
        <w:top w:val="none" w:sz="0" w:space="0" w:color="auto"/>
        <w:left w:val="none" w:sz="0" w:space="0" w:color="auto"/>
        <w:bottom w:val="none" w:sz="0" w:space="0" w:color="auto"/>
        <w:right w:val="none" w:sz="0" w:space="0" w:color="auto"/>
      </w:divBdr>
    </w:div>
    <w:div w:id="1663657812">
      <w:marLeft w:val="0"/>
      <w:marRight w:val="0"/>
      <w:marTop w:val="0"/>
      <w:marBottom w:val="0"/>
      <w:divBdr>
        <w:top w:val="none" w:sz="0" w:space="0" w:color="auto"/>
        <w:left w:val="none" w:sz="0" w:space="0" w:color="auto"/>
        <w:bottom w:val="none" w:sz="0" w:space="0" w:color="auto"/>
        <w:right w:val="none" w:sz="0" w:space="0" w:color="auto"/>
      </w:divBdr>
    </w:div>
    <w:div w:id="1663657814">
      <w:marLeft w:val="0"/>
      <w:marRight w:val="0"/>
      <w:marTop w:val="0"/>
      <w:marBottom w:val="0"/>
      <w:divBdr>
        <w:top w:val="none" w:sz="0" w:space="0" w:color="auto"/>
        <w:left w:val="none" w:sz="0" w:space="0" w:color="auto"/>
        <w:bottom w:val="none" w:sz="0" w:space="0" w:color="auto"/>
        <w:right w:val="none" w:sz="0" w:space="0" w:color="auto"/>
      </w:divBdr>
    </w:div>
    <w:div w:id="1663657817">
      <w:marLeft w:val="0"/>
      <w:marRight w:val="0"/>
      <w:marTop w:val="0"/>
      <w:marBottom w:val="0"/>
      <w:divBdr>
        <w:top w:val="none" w:sz="0" w:space="0" w:color="auto"/>
        <w:left w:val="none" w:sz="0" w:space="0" w:color="auto"/>
        <w:bottom w:val="none" w:sz="0" w:space="0" w:color="auto"/>
        <w:right w:val="none" w:sz="0" w:space="0" w:color="auto"/>
      </w:divBdr>
      <w:divsChild>
        <w:div w:id="1663657671">
          <w:marLeft w:val="0"/>
          <w:marRight w:val="0"/>
          <w:marTop w:val="0"/>
          <w:marBottom w:val="0"/>
          <w:divBdr>
            <w:top w:val="none" w:sz="0" w:space="0" w:color="auto"/>
            <w:left w:val="none" w:sz="0" w:space="0" w:color="auto"/>
            <w:bottom w:val="none" w:sz="0" w:space="0" w:color="auto"/>
            <w:right w:val="none" w:sz="0" w:space="0" w:color="auto"/>
          </w:divBdr>
        </w:div>
        <w:div w:id="1663657800">
          <w:marLeft w:val="0"/>
          <w:marRight w:val="0"/>
          <w:marTop w:val="0"/>
          <w:marBottom w:val="0"/>
          <w:divBdr>
            <w:top w:val="none" w:sz="0" w:space="0" w:color="auto"/>
            <w:left w:val="none" w:sz="0" w:space="0" w:color="auto"/>
            <w:bottom w:val="none" w:sz="0" w:space="0" w:color="auto"/>
            <w:right w:val="none" w:sz="0" w:space="0" w:color="auto"/>
          </w:divBdr>
        </w:div>
        <w:div w:id="1663657851">
          <w:marLeft w:val="0"/>
          <w:marRight w:val="0"/>
          <w:marTop w:val="0"/>
          <w:marBottom w:val="0"/>
          <w:divBdr>
            <w:top w:val="none" w:sz="0" w:space="0" w:color="auto"/>
            <w:left w:val="none" w:sz="0" w:space="0" w:color="auto"/>
            <w:bottom w:val="none" w:sz="0" w:space="0" w:color="auto"/>
            <w:right w:val="none" w:sz="0" w:space="0" w:color="auto"/>
          </w:divBdr>
        </w:div>
      </w:divsChild>
    </w:div>
    <w:div w:id="1663657822">
      <w:marLeft w:val="0"/>
      <w:marRight w:val="0"/>
      <w:marTop w:val="0"/>
      <w:marBottom w:val="0"/>
      <w:divBdr>
        <w:top w:val="none" w:sz="0" w:space="0" w:color="auto"/>
        <w:left w:val="none" w:sz="0" w:space="0" w:color="auto"/>
        <w:bottom w:val="none" w:sz="0" w:space="0" w:color="auto"/>
        <w:right w:val="none" w:sz="0" w:space="0" w:color="auto"/>
      </w:divBdr>
      <w:divsChild>
        <w:div w:id="1663657732">
          <w:marLeft w:val="0"/>
          <w:marRight w:val="0"/>
          <w:marTop w:val="0"/>
          <w:marBottom w:val="0"/>
          <w:divBdr>
            <w:top w:val="none" w:sz="0" w:space="0" w:color="auto"/>
            <w:left w:val="none" w:sz="0" w:space="0" w:color="auto"/>
            <w:bottom w:val="none" w:sz="0" w:space="0" w:color="auto"/>
            <w:right w:val="none" w:sz="0" w:space="0" w:color="auto"/>
          </w:divBdr>
        </w:div>
      </w:divsChild>
    </w:div>
    <w:div w:id="1663657823">
      <w:marLeft w:val="0"/>
      <w:marRight w:val="0"/>
      <w:marTop w:val="0"/>
      <w:marBottom w:val="0"/>
      <w:divBdr>
        <w:top w:val="none" w:sz="0" w:space="0" w:color="auto"/>
        <w:left w:val="none" w:sz="0" w:space="0" w:color="auto"/>
        <w:bottom w:val="none" w:sz="0" w:space="0" w:color="auto"/>
        <w:right w:val="none" w:sz="0" w:space="0" w:color="auto"/>
      </w:divBdr>
    </w:div>
    <w:div w:id="1663657824">
      <w:marLeft w:val="0"/>
      <w:marRight w:val="0"/>
      <w:marTop w:val="0"/>
      <w:marBottom w:val="0"/>
      <w:divBdr>
        <w:top w:val="none" w:sz="0" w:space="0" w:color="auto"/>
        <w:left w:val="none" w:sz="0" w:space="0" w:color="auto"/>
        <w:bottom w:val="none" w:sz="0" w:space="0" w:color="auto"/>
        <w:right w:val="none" w:sz="0" w:space="0" w:color="auto"/>
      </w:divBdr>
      <w:divsChild>
        <w:div w:id="1663657724">
          <w:marLeft w:val="0"/>
          <w:marRight w:val="0"/>
          <w:marTop w:val="0"/>
          <w:marBottom w:val="0"/>
          <w:divBdr>
            <w:top w:val="none" w:sz="0" w:space="0" w:color="auto"/>
            <w:left w:val="none" w:sz="0" w:space="0" w:color="auto"/>
            <w:bottom w:val="none" w:sz="0" w:space="0" w:color="auto"/>
            <w:right w:val="none" w:sz="0" w:space="0" w:color="auto"/>
          </w:divBdr>
          <w:divsChild>
            <w:div w:id="16636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7825">
      <w:marLeft w:val="0"/>
      <w:marRight w:val="0"/>
      <w:marTop w:val="0"/>
      <w:marBottom w:val="0"/>
      <w:divBdr>
        <w:top w:val="none" w:sz="0" w:space="0" w:color="auto"/>
        <w:left w:val="none" w:sz="0" w:space="0" w:color="auto"/>
        <w:bottom w:val="none" w:sz="0" w:space="0" w:color="auto"/>
        <w:right w:val="none" w:sz="0" w:space="0" w:color="auto"/>
      </w:divBdr>
      <w:divsChild>
        <w:div w:id="1663657819">
          <w:marLeft w:val="0"/>
          <w:marRight w:val="0"/>
          <w:marTop w:val="0"/>
          <w:marBottom w:val="0"/>
          <w:divBdr>
            <w:top w:val="none" w:sz="0" w:space="0" w:color="auto"/>
            <w:left w:val="none" w:sz="0" w:space="0" w:color="auto"/>
            <w:bottom w:val="none" w:sz="0" w:space="0" w:color="auto"/>
            <w:right w:val="none" w:sz="0" w:space="0" w:color="auto"/>
          </w:divBdr>
          <w:divsChild>
            <w:div w:id="16636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7827">
      <w:marLeft w:val="0"/>
      <w:marRight w:val="0"/>
      <w:marTop w:val="0"/>
      <w:marBottom w:val="0"/>
      <w:divBdr>
        <w:top w:val="none" w:sz="0" w:space="0" w:color="auto"/>
        <w:left w:val="none" w:sz="0" w:space="0" w:color="auto"/>
        <w:bottom w:val="none" w:sz="0" w:space="0" w:color="auto"/>
        <w:right w:val="none" w:sz="0" w:space="0" w:color="auto"/>
      </w:divBdr>
    </w:div>
    <w:div w:id="1663657829">
      <w:marLeft w:val="0"/>
      <w:marRight w:val="0"/>
      <w:marTop w:val="0"/>
      <w:marBottom w:val="0"/>
      <w:divBdr>
        <w:top w:val="none" w:sz="0" w:space="0" w:color="auto"/>
        <w:left w:val="none" w:sz="0" w:space="0" w:color="auto"/>
        <w:bottom w:val="none" w:sz="0" w:space="0" w:color="auto"/>
        <w:right w:val="none" w:sz="0" w:space="0" w:color="auto"/>
      </w:divBdr>
    </w:div>
    <w:div w:id="1663657830">
      <w:marLeft w:val="0"/>
      <w:marRight w:val="0"/>
      <w:marTop w:val="0"/>
      <w:marBottom w:val="0"/>
      <w:divBdr>
        <w:top w:val="none" w:sz="0" w:space="0" w:color="auto"/>
        <w:left w:val="none" w:sz="0" w:space="0" w:color="auto"/>
        <w:bottom w:val="none" w:sz="0" w:space="0" w:color="auto"/>
        <w:right w:val="none" w:sz="0" w:space="0" w:color="auto"/>
      </w:divBdr>
    </w:div>
    <w:div w:id="1663657831">
      <w:marLeft w:val="0"/>
      <w:marRight w:val="0"/>
      <w:marTop w:val="0"/>
      <w:marBottom w:val="0"/>
      <w:divBdr>
        <w:top w:val="none" w:sz="0" w:space="0" w:color="auto"/>
        <w:left w:val="none" w:sz="0" w:space="0" w:color="auto"/>
        <w:bottom w:val="none" w:sz="0" w:space="0" w:color="auto"/>
        <w:right w:val="none" w:sz="0" w:space="0" w:color="auto"/>
      </w:divBdr>
    </w:div>
    <w:div w:id="1663657834">
      <w:marLeft w:val="0"/>
      <w:marRight w:val="0"/>
      <w:marTop w:val="0"/>
      <w:marBottom w:val="0"/>
      <w:divBdr>
        <w:top w:val="none" w:sz="0" w:space="0" w:color="auto"/>
        <w:left w:val="none" w:sz="0" w:space="0" w:color="auto"/>
        <w:bottom w:val="none" w:sz="0" w:space="0" w:color="auto"/>
        <w:right w:val="none" w:sz="0" w:space="0" w:color="auto"/>
      </w:divBdr>
    </w:div>
    <w:div w:id="1663657835">
      <w:marLeft w:val="0"/>
      <w:marRight w:val="0"/>
      <w:marTop w:val="0"/>
      <w:marBottom w:val="0"/>
      <w:divBdr>
        <w:top w:val="none" w:sz="0" w:space="0" w:color="auto"/>
        <w:left w:val="none" w:sz="0" w:space="0" w:color="auto"/>
        <w:bottom w:val="none" w:sz="0" w:space="0" w:color="auto"/>
        <w:right w:val="none" w:sz="0" w:space="0" w:color="auto"/>
      </w:divBdr>
    </w:div>
    <w:div w:id="1663657838">
      <w:marLeft w:val="0"/>
      <w:marRight w:val="0"/>
      <w:marTop w:val="0"/>
      <w:marBottom w:val="0"/>
      <w:divBdr>
        <w:top w:val="none" w:sz="0" w:space="0" w:color="auto"/>
        <w:left w:val="none" w:sz="0" w:space="0" w:color="auto"/>
        <w:bottom w:val="none" w:sz="0" w:space="0" w:color="auto"/>
        <w:right w:val="none" w:sz="0" w:space="0" w:color="auto"/>
      </w:divBdr>
    </w:div>
    <w:div w:id="1663657839">
      <w:marLeft w:val="0"/>
      <w:marRight w:val="0"/>
      <w:marTop w:val="0"/>
      <w:marBottom w:val="0"/>
      <w:divBdr>
        <w:top w:val="none" w:sz="0" w:space="0" w:color="auto"/>
        <w:left w:val="none" w:sz="0" w:space="0" w:color="auto"/>
        <w:bottom w:val="none" w:sz="0" w:space="0" w:color="auto"/>
        <w:right w:val="none" w:sz="0" w:space="0" w:color="auto"/>
      </w:divBdr>
    </w:div>
    <w:div w:id="1663657840">
      <w:marLeft w:val="0"/>
      <w:marRight w:val="0"/>
      <w:marTop w:val="0"/>
      <w:marBottom w:val="0"/>
      <w:divBdr>
        <w:top w:val="none" w:sz="0" w:space="0" w:color="auto"/>
        <w:left w:val="none" w:sz="0" w:space="0" w:color="auto"/>
        <w:bottom w:val="none" w:sz="0" w:space="0" w:color="auto"/>
        <w:right w:val="none" w:sz="0" w:space="0" w:color="auto"/>
      </w:divBdr>
    </w:div>
    <w:div w:id="1663657841">
      <w:marLeft w:val="0"/>
      <w:marRight w:val="0"/>
      <w:marTop w:val="0"/>
      <w:marBottom w:val="0"/>
      <w:divBdr>
        <w:top w:val="none" w:sz="0" w:space="0" w:color="auto"/>
        <w:left w:val="none" w:sz="0" w:space="0" w:color="auto"/>
        <w:bottom w:val="none" w:sz="0" w:space="0" w:color="auto"/>
        <w:right w:val="none" w:sz="0" w:space="0" w:color="auto"/>
      </w:divBdr>
      <w:divsChild>
        <w:div w:id="1663657676">
          <w:marLeft w:val="0"/>
          <w:marRight w:val="0"/>
          <w:marTop w:val="0"/>
          <w:marBottom w:val="0"/>
          <w:divBdr>
            <w:top w:val="none" w:sz="0" w:space="0" w:color="auto"/>
            <w:left w:val="none" w:sz="0" w:space="0" w:color="auto"/>
            <w:bottom w:val="none" w:sz="0" w:space="0" w:color="auto"/>
            <w:right w:val="none" w:sz="0" w:space="0" w:color="auto"/>
          </w:divBdr>
          <w:divsChild>
            <w:div w:id="1663657721">
              <w:marLeft w:val="0"/>
              <w:marRight w:val="0"/>
              <w:marTop w:val="0"/>
              <w:marBottom w:val="0"/>
              <w:divBdr>
                <w:top w:val="none" w:sz="0" w:space="0" w:color="auto"/>
                <w:left w:val="none" w:sz="0" w:space="0" w:color="auto"/>
                <w:bottom w:val="none" w:sz="0" w:space="0" w:color="auto"/>
                <w:right w:val="none" w:sz="0" w:space="0" w:color="auto"/>
              </w:divBdr>
              <w:divsChild>
                <w:div w:id="16636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57843">
      <w:marLeft w:val="0"/>
      <w:marRight w:val="0"/>
      <w:marTop w:val="0"/>
      <w:marBottom w:val="0"/>
      <w:divBdr>
        <w:top w:val="none" w:sz="0" w:space="0" w:color="auto"/>
        <w:left w:val="none" w:sz="0" w:space="0" w:color="auto"/>
        <w:bottom w:val="none" w:sz="0" w:space="0" w:color="auto"/>
        <w:right w:val="none" w:sz="0" w:space="0" w:color="auto"/>
      </w:divBdr>
    </w:div>
    <w:div w:id="1663657845">
      <w:marLeft w:val="0"/>
      <w:marRight w:val="0"/>
      <w:marTop w:val="0"/>
      <w:marBottom w:val="0"/>
      <w:divBdr>
        <w:top w:val="none" w:sz="0" w:space="0" w:color="auto"/>
        <w:left w:val="none" w:sz="0" w:space="0" w:color="auto"/>
        <w:bottom w:val="none" w:sz="0" w:space="0" w:color="auto"/>
        <w:right w:val="none" w:sz="0" w:space="0" w:color="auto"/>
      </w:divBdr>
      <w:divsChild>
        <w:div w:id="1663657715">
          <w:marLeft w:val="0"/>
          <w:marRight w:val="0"/>
          <w:marTop w:val="0"/>
          <w:marBottom w:val="0"/>
          <w:divBdr>
            <w:top w:val="none" w:sz="0" w:space="0" w:color="auto"/>
            <w:left w:val="none" w:sz="0" w:space="0" w:color="auto"/>
            <w:bottom w:val="none" w:sz="0" w:space="0" w:color="auto"/>
            <w:right w:val="none" w:sz="0" w:space="0" w:color="auto"/>
          </w:divBdr>
          <w:divsChild>
            <w:div w:id="16636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7847">
      <w:marLeft w:val="0"/>
      <w:marRight w:val="0"/>
      <w:marTop w:val="0"/>
      <w:marBottom w:val="0"/>
      <w:divBdr>
        <w:top w:val="none" w:sz="0" w:space="0" w:color="auto"/>
        <w:left w:val="none" w:sz="0" w:space="0" w:color="auto"/>
        <w:bottom w:val="none" w:sz="0" w:space="0" w:color="auto"/>
        <w:right w:val="none" w:sz="0" w:space="0" w:color="auto"/>
      </w:divBdr>
      <w:divsChild>
        <w:div w:id="1663657678">
          <w:marLeft w:val="0"/>
          <w:marRight w:val="0"/>
          <w:marTop w:val="0"/>
          <w:marBottom w:val="0"/>
          <w:divBdr>
            <w:top w:val="none" w:sz="0" w:space="0" w:color="auto"/>
            <w:left w:val="none" w:sz="0" w:space="0" w:color="auto"/>
            <w:bottom w:val="none" w:sz="0" w:space="0" w:color="auto"/>
            <w:right w:val="none" w:sz="0" w:space="0" w:color="auto"/>
          </w:divBdr>
        </w:div>
        <w:div w:id="1663657679">
          <w:marLeft w:val="0"/>
          <w:marRight w:val="0"/>
          <w:marTop w:val="0"/>
          <w:marBottom w:val="0"/>
          <w:divBdr>
            <w:top w:val="none" w:sz="0" w:space="0" w:color="auto"/>
            <w:left w:val="none" w:sz="0" w:space="0" w:color="auto"/>
            <w:bottom w:val="none" w:sz="0" w:space="0" w:color="auto"/>
            <w:right w:val="none" w:sz="0" w:space="0" w:color="auto"/>
          </w:divBdr>
        </w:div>
        <w:div w:id="1663657705">
          <w:marLeft w:val="0"/>
          <w:marRight w:val="0"/>
          <w:marTop w:val="0"/>
          <w:marBottom w:val="0"/>
          <w:divBdr>
            <w:top w:val="none" w:sz="0" w:space="0" w:color="auto"/>
            <w:left w:val="none" w:sz="0" w:space="0" w:color="auto"/>
            <w:bottom w:val="none" w:sz="0" w:space="0" w:color="auto"/>
            <w:right w:val="none" w:sz="0" w:space="0" w:color="auto"/>
          </w:divBdr>
        </w:div>
        <w:div w:id="1663657726">
          <w:marLeft w:val="0"/>
          <w:marRight w:val="0"/>
          <w:marTop w:val="0"/>
          <w:marBottom w:val="0"/>
          <w:divBdr>
            <w:top w:val="none" w:sz="0" w:space="0" w:color="auto"/>
            <w:left w:val="none" w:sz="0" w:space="0" w:color="auto"/>
            <w:bottom w:val="none" w:sz="0" w:space="0" w:color="auto"/>
            <w:right w:val="none" w:sz="0" w:space="0" w:color="auto"/>
          </w:divBdr>
        </w:div>
        <w:div w:id="1663657745">
          <w:marLeft w:val="0"/>
          <w:marRight w:val="0"/>
          <w:marTop w:val="0"/>
          <w:marBottom w:val="0"/>
          <w:divBdr>
            <w:top w:val="none" w:sz="0" w:space="0" w:color="auto"/>
            <w:left w:val="none" w:sz="0" w:space="0" w:color="auto"/>
            <w:bottom w:val="none" w:sz="0" w:space="0" w:color="auto"/>
            <w:right w:val="none" w:sz="0" w:space="0" w:color="auto"/>
          </w:divBdr>
        </w:div>
        <w:div w:id="1663657758">
          <w:marLeft w:val="0"/>
          <w:marRight w:val="0"/>
          <w:marTop w:val="0"/>
          <w:marBottom w:val="0"/>
          <w:divBdr>
            <w:top w:val="none" w:sz="0" w:space="0" w:color="auto"/>
            <w:left w:val="none" w:sz="0" w:space="0" w:color="auto"/>
            <w:bottom w:val="none" w:sz="0" w:space="0" w:color="auto"/>
            <w:right w:val="none" w:sz="0" w:space="0" w:color="auto"/>
          </w:divBdr>
        </w:div>
        <w:div w:id="1663657786">
          <w:marLeft w:val="0"/>
          <w:marRight w:val="0"/>
          <w:marTop w:val="0"/>
          <w:marBottom w:val="0"/>
          <w:divBdr>
            <w:top w:val="none" w:sz="0" w:space="0" w:color="auto"/>
            <w:left w:val="none" w:sz="0" w:space="0" w:color="auto"/>
            <w:bottom w:val="none" w:sz="0" w:space="0" w:color="auto"/>
            <w:right w:val="none" w:sz="0" w:space="0" w:color="auto"/>
          </w:divBdr>
        </w:div>
        <w:div w:id="1663657793">
          <w:marLeft w:val="0"/>
          <w:marRight w:val="0"/>
          <w:marTop w:val="0"/>
          <w:marBottom w:val="0"/>
          <w:divBdr>
            <w:top w:val="none" w:sz="0" w:space="0" w:color="auto"/>
            <w:left w:val="none" w:sz="0" w:space="0" w:color="auto"/>
            <w:bottom w:val="none" w:sz="0" w:space="0" w:color="auto"/>
            <w:right w:val="none" w:sz="0" w:space="0" w:color="auto"/>
          </w:divBdr>
        </w:div>
        <w:div w:id="1663657808">
          <w:marLeft w:val="0"/>
          <w:marRight w:val="0"/>
          <w:marTop w:val="0"/>
          <w:marBottom w:val="0"/>
          <w:divBdr>
            <w:top w:val="none" w:sz="0" w:space="0" w:color="auto"/>
            <w:left w:val="none" w:sz="0" w:space="0" w:color="auto"/>
            <w:bottom w:val="none" w:sz="0" w:space="0" w:color="auto"/>
            <w:right w:val="none" w:sz="0" w:space="0" w:color="auto"/>
          </w:divBdr>
        </w:div>
        <w:div w:id="1663657809">
          <w:marLeft w:val="0"/>
          <w:marRight w:val="0"/>
          <w:marTop w:val="0"/>
          <w:marBottom w:val="0"/>
          <w:divBdr>
            <w:top w:val="none" w:sz="0" w:space="0" w:color="auto"/>
            <w:left w:val="none" w:sz="0" w:space="0" w:color="auto"/>
            <w:bottom w:val="none" w:sz="0" w:space="0" w:color="auto"/>
            <w:right w:val="none" w:sz="0" w:space="0" w:color="auto"/>
          </w:divBdr>
        </w:div>
        <w:div w:id="1663657821">
          <w:marLeft w:val="0"/>
          <w:marRight w:val="0"/>
          <w:marTop w:val="0"/>
          <w:marBottom w:val="0"/>
          <w:divBdr>
            <w:top w:val="none" w:sz="0" w:space="0" w:color="auto"/>
            <w:left w:val="none" w:sz="0" w:space="0" w:color="auto"/>
            <w:bottom w:val="none" w:sz="0" w:space="0" w:color="auto"/>
            <w:right w:val="none" w:sz="0" w:space="0" w:color="auto"/>
          </w:divBdr>
        </w:div>
      </w:divsChild>
    </w:div>
    <w:div w:id="1663657848">
      <w:marLeft w:val="0"/>
      <w:marRight w:val="0"/>
      <w:marTop w:val="0"/>
      <w:marBottom w:val="0"/>
      <w:divBdr>
        <w:top w:val="none" w:sz="0" w:space="0" w:color="auto"/>
        <w:left w:val="none" w:sz="0" w:space="0" w:color="auto"/>
        <w:bottom w:val="none" w:sz="0" w:space="0" w:color="auto"/>
        <w:right w:val="none" w:sz="0" w:space="0" w:color="auto"/>
      </w:divBdr>
      <w:divsChild>
        <w:div w:id="1663657687">
          <w:marLeft w:val="0"/>
          <w:marRight w:val="0"/>
          <w:marTop w:val="0"/>
          <w:marBottom w:val="0"/>
          <w:divBdr>
            <w:top w:val="none" w:sz="0" w:space="0" w:color="auto"/>
            <w:left w:val="none" w:sz="0" w:space="0" w:color="auto"/>
            <w:bottom w:val="none" w:sz="0" w:space="0" w:color="auto"/>
            <w:right w:val="none" w:sz="0" w:space="0" w:color="auto"/>
          </w:divBdr>
        </w:div>
        <w:div w:id="1663657690">
          <w:marLeft w:val="0"/>
          <w:marRight w:val="0"/>
          <w:marTop w:val="0"/>
          <w:marBottom w:val="0"/>
          <w:divBdr>
            <w:top w:val="none" w:sz="0" w:space="0" w:color="auto"/>
            <w:left w:val="none" w:sz="0" w:space="0" w:color="auto"/>
            <w:bottom w:val="none" w:sz="0" w:space="0" w:color="auto"/>
            <w:right w:val="none" w:sz="0" w:space="0" w:color="auto"/>
          </w:divBdr>
        </w:div>
        <w:div w:id="1663657698">
          <w:marLeft w:val="0"/>
          <w:marRight w:val="0"/>
          <w:marTop w:val="0"/>
          <w:marBottom w:val="0"/>
          <w:divBdr>
            <w:top w:val="none" w:sz="0" w:space="0" w:color="auto"/>
            <w:left w:val="none" w:sz="0" w:space="0" w:color="auto"/>
            <w:bottom w:val="none" w:sz="0" w:space="0" w:color="auto"/>
            <w:right w:val="none" w:sz="0" w:space="0" w:color="auto"/>
          </w:divBdr>
        </w:div>
        <w:div w:id="1663657708">
          <w:marLeft w:val="0"/>
          <w:marRight w:val="0"/>
          <w:marTop w:val="0"/>
          <w:marBottom w:val="0"/>
          <w:divBdr>
            <w:top w:val="none" w:sz="0" w:space="0" w:color="auto"/>
            <w:left w:val="none" w:sz="0" w:space="0" w:color="auto"/>
            <w:bottom w:val="none" w:sz="0" w:space="0" w:color="auto"/>
            <w:right w:val="none" w:sz="0" w:space="0" w:color="auto"/>
          </w:divBdr>
        </w:div>
        <w:div w:id="1663657736">
          <w:marLeft w:val="0"/>
          <w:marRight w:val="0"/>
          <w:marTop w:val="0"/>
          <w:marBottom w:val="0"/>
          <w:divBdr>
            <w:top w:val="none" w:sz="0" w:space="0" w:color="auto"/>
            <w:left w:val="none" w:sz="0" w:space="0" w:color="auto"/>
            <w:bottom w:val="none" w:sz="0" w:space="0" w:color="auto"/>
            <w:right w:val="none" w:sz="0" w:space="0" w:color="auto"/>
          </w:divBdr>
        </w:div>
        <w:div w:id="1663657744">
          <w:marLeft w:val="0"/>
          <w:marRight w:val="0"/>
          <w:marTop w:val="0"/>
          <w:marBottom w:val="0"/>
          <w:divBdr>
            <w:top w:val="none" w:sz="0" w:space="0" w:color="auto"/>
            <w:left w:val="none" w:sz="0" w:space="0" w:color="auto"/>
            <w:bottom w:val="none" w:sz="0" w:space="0" w:color="auto"/>
            <w:right w:val="none" w:sz="0" w:space="0" w:color="auto"/>
          </w:divBdr>
        </w:div>
        <w:div w:id="1663657767">
          <w:marLeft w:val="0"/>
          <w:marRight w:val="0"/>
          <w:marTop w:val="0"/>
          <w:marBottom w:val="0"/>
          <w:divBdr>
            <w:top w:val="none" w:sz="0" w:space="0" w:color="auto"/>
            <w:left w:val="none" w:sz="0" w:space="0" w:color="auto"/>
            <w:bottom w:val="none" w:sz="0" w:space="0" w:color="auto"/>
            <w:right w:val="none" w:sz="0" w:space="0" w:color="auto"/>
          </w:divBdr>
        </w:div>
        <w:div w:id="1663657815">
          <w:marLeft w:val="0"/>
          <w:marRight w:val="0"/>
          <w:marTop w:val="0"/>
          <w:marBottom w:val="0"/>
          <w:divBdr>
            <w:top w:val="none" w:sz="0" w:space="0" w:color="auto"/>
            <w:left w:val="none" w:sz="0" w:space="0" w:color="auto"/>
            <w:bottom w:val="none" w:sz="0" w:space="0" w:color="auto"/>
            <w:right w:val="none" w:sz="0" w:space="0" w:color="auto"/>
          </w:divBdr>
        </w:div>
        <w:div w:id="1663657818">
          <w:marLeft w:val="0"/>
          <w:marRight w:val="0"/>
          <w:marTop w:val="0"/>
          <w:marBottom w:val="0"/>
          <w:divBdr>
            <w:top w:val="none" w:sz="0" w:space="0" w:color="auto"/>
            <w:left w:val="none" w:sz="0" w:space="0" w:color="auto"/>
            <w:bottom w:val="none" w:sz="0" w:space="0" w:color="auto"/>
            <w:right w:val="none" w:sz="0" w:space="0" w:color="auto"/>
          </w:divBdr>
        </w:div>
        <w:div w:id="1663657832">
          <w:marLeft w:val="0"/>
          <w:marRight w:val="0"/>
          <w:marTop w:val="0"/>
          <w:marBottom w:val="0"/>
          <w:divBdr>
            <w:top w:val="none" w:sz="0" w:space="0" w:color="auto"/>
            <w:left w:val="none" w:sz="0" w:space="0" w:color="auto"/>
            <w:bottom w:val="none" w:sz="0" w:space="0" w:color="auto"/>
            <w:right w:val="none" w:sz="0" w:space="0" w:color="auto"/>
          </w:divBdr>
        </w:div>
        <w:div w:id="1663657842">
          <w:marLeft w:val="0"/>
          <w:marRight w:val="0"/>
          <w:marTop w:val="0"/>
          <w:marBottom w:val="0"/>
          <w:divBdr>
            <w:top w:val="none" w:sz="0" w:space="0" w:color="auto"/>
            <w:left w:val="none" w:sz="0" w:space="0" w:color="auto"/>
            <w:bottom w:val="none" w:sz="0" w:space="0" w:color="auto"/>
            <w:right w:val="none" w:sz="0" w:space="0" w:color="auto"/>
          </w:divBdr>
        </w:div>
      </w:divsChild>
    </w:div>
    <w:div w:id="1663657850">
      <w:marLeft w:val="0"/>
      <w:marRight w:val="0"/>
      <w:marTop w:val="0"/>
      <w:marBottom w:val="0"/>
      <w:divBdr>
        <w:top w:val="none" w:sz="0" w:space="0" w:color="auto"/>
        <w:left w:val="none" w:sz="0" w:space="0" w:color="auto"/>
        <w:bottom w:val="none" w:sz="0" w:space="0" w:color="auto"/>
        <w:right w:val="none" w:sz="0" w:space="0" w:color="auto"/>
      </w:divBdr>
    </w:div>
    <w:div w:id="1663657852">
      <w:marLeft w:val="0"/>
      <w:marRight w:val="0"/>
      <w:marTop w:val="0"/>
      <w:marBottom w:val="0"/>
      <w:divBdr>
        <w:top w:val="none" w:sz="0" w:space="0" w:color="auto"/>
        <w:left w:val="none" w:sz="0" w:space="0" w:color="auto"/>
        <w:bottom w:val="none" w:sz="0" w:space="0" w:color="auto"/>
        <w:right w:val="none" w:sz="0" w:space="0" w:color="auto"/>
      </w:divBdr>
      <w:divsChild>
        <w:div w:id="1663657682">
          <w:marLeft w:val="0"/>
          <w:marRight w:val="0"/>
          <w:marTop w:val="0"/>
          <w:marBottom w:val="0"/>
          <w:divBdr>
            <w:top w:val="none" w:sz="0" w:space="0" w:color="auto"/>
            <w:left w:val="none" w:sz="0" w:space="0" w:color="auto"/>
            <w:bottom w:val="none" w:sz="0" w:space="0" w:color="auto"/>
            <w:right w:val="none" w:sz="0" w:space="0" w:color="auto"/>
          </w:divBdr>
        </w:div>
      </w:divsChild>
    </w:div>
    <w:div w:id="1663657853">
      <w:marLeft w:val="0"/>
      <w:marRight w:val="0"/>
      <w:marTop w:val="0"/>
      <w:marBottom w:val="0"/>
      <w:divBdr>
        <w:top w:val="none" w:sz="0" w:space="0" w:color="auto"/>
        <w:left w:val="none" w:sz="0" w:space="0" w:color="auto"/>
        <w:bottom w:val="none" w:sz="0" w:space="0" w:color="auto"/>
        <w:right w:val="none" w:sz="0" w:space="0" w:color="auto"/>
      </w:divBdr>
    </w:div>
    <w:div w:id="1663657855">
      <w:marLeft w:val="0"/>
      <w:marRight w:val="0"/>
      <w:marTop w:val="0"/>
      <w:marBottom w:val="0"/>
      <w:divBdr>
        <w:top w:val="none" w:sz="0" w:space="0" w:color="auto"/>
        <w:left w:val="none" w:sz="0" w:space="0" w:color="auto"/>
        <w:bottom w:val="none" w:sz="0" w:space="0" w:color="auto"/>
        <w:right w:val="none" w:sz="0" w:space="0" w:color="auto"/>
      </w:divBdr>
      <w:divsChild>
        <w:div w:id="1663657854">
          <w:marLeft w:val="0"/>
          <w:marRight w:val="0"/>
          <w:marTop w:val="0"/>
          <w:marBottom w:val="0"/>
          <w:divBdr>
            <w:top w:val="none" w:sz="0" w:space="0" w:color="auto"/>
            <w:left w:val="none" w:sz="0" w:space="0" w:color="auto"/>
            <w:bottom w:val="none" w:sz="0" w:space="0" w:color="auto"/>
            <w:right w:val="none" w:sz="0" w:space="0" w:color="auto"/>
          </w:divBdr>
          <w:divsChild>
            <w:div w:id="1663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7857">
      <w:marLeft w:val="0"/>
      <w:marRight w:val="0"/>
      <w:marTop w:val="0"/>
      <w:marBottom w:val="0"/>
      <w:divBdr>
        <w:top w:val="none" w:sz="0" w:space="0" w:color="auto"/>
        <w:left w:val="none" w:sz="0" w:space="0" w:color="auto"/>
        <w:bottom w:val="none" w:sz="0" w:space="0" w:color="auto"/>
        <w:right w:val="none" w:sz="0" w:space="0" w:color="auto"/>
      </w:divBdr>
      <w:divsChild>
        <w:div w:id="1663657856">
          <w:marLeft w:val="0"/>
          <w:marRight w:val="0"/>
          <w:marTop w:val="0"/>
          <w:marBottom w:val="0"/>
          <w:divBdr>
            <w:top w:val="none" w:sz="0" w:space="0" w:color="auto"/>
            <w:left w:val="none" w:sz="0" w:space="0" w:color="auto"/>
            <w:bottom w:val="none" w:sz="0" w:space="0" w:color="auto"/>
            <w:right w:val="none" w:sz="0" w:space="0" w:color="auto"/>
          </w:divBdr>
          <w:divsChild>
            <w:div w:id="1663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7861">
      <w:marLeft w:val="0"/>
      <w:marRight w:val="0"/>
      <w:marTop w:val="0"/>
      <w:marBottom w:val="0"/>
      <w:divBdr>
        <w:top w:val="none" w:sz="0" w:space="0" w:color="auto"/>
        <w:left w:val="none" w:sz="0" w:space="0" w:color="auto"/>
        <w:bottom w:val="none" w:sz="0" w:space="0" w:color="auto"/>
        <w:right w:val="none" w:sz="0" w:space="0" w:color="auto"/>
      </w:divBdr>
      <w:divsChild>
        <w:div w:id="1663657864">
          <w:marLeft w:val="0"/>
          <w:marRight w:val="0"/>
          <w:marTop w:val="0"/>
          <w:marBottom w:val="0"/>
          <w:divBdr>
            <w:top w:val="none" w:sz="0" w:space="0" w:color="auto"/>
            <w:left w:val="none" w:sz="0" w:space="0" w:color="auto"/>
            <w:bottom w:val="none" w:sz="0" w:space="0" w:color="auto"/>
            <w:right w:val="none" w:sz="0" w:space="0" w:color="auto"/>
          </w:divBdr>
        </w:div>
      </w:divsChild>
    </w:div>
    <w:div w:id="1663657865">
      <w:marLeft w:val="0"/>
      <w:marRight w:val="0"/>
      <w:marTop w:val="0"/>
      <w:marBottom w:val="0"/>
      <w:divBdr>
        <w:top w:val="none" w:sz="0" w:space="0" w:color="auto"/>
        <w:left w:val="none" w:sz="0" w:space="0" w:color="auto"/>
        <w:bottom w:val="none" w:sz="0" w:space="0" w:color="auto"/>
        <w:right w:val="none" w:sz="0" w:space="0" w:color="auto"/>
      </w:divBdr>
    </w:div>
    <w:div w:id="1663657867">
      <w:marLeft w:val="0"/>
      <w:marRight w:val="0"/>
      <w:marTop w:val="0"/>
      <w:marBottom w:val="0"/>
      <w:divBdr>
        <w:top w:val="none" w:sz="0" w:space="0" w:color="auto"/>
        <w:left w:val="none" w:sz="0" w:space="0" w:color="auto"/>
        <w:bottom w:val="none" w:sz="0" w:space="0" w:color="auto"/>
        <w:right w:val="none" w:sz="0" w:space="0" w:color="auto"/>
      </w:divBdr>
      <w:divsChild>
        <w:div w:id="1663657863">
          <w:marLeft w:val="0"/>
          <w:marRight w:val="0"/>
          <w:marTop w:val="0"/>
          <w:marBottom w:val="0"/>
          <w:divBdr>
            <w:top w:val="none" w:sz="0" w:space="0" w:color="auto"/>
            <w:left w:val="none" w:sz="0" w:space="0" w:color="auto"/>
            <w:bottom w:val="none" w:sz="0" w:space="0" w:color="auto"/>
            <w:right w:val="none" w:sz="0" w:space="0" w:color="auto"/>
          </w:divBdr>
          <w:divsChild>
            <w:div w:id="1663657860">
              <w:marLeft w:val="0"/>
              <w:marRight w:val="0"/>
              <w:marTop w:val="0"/>
              <w:marBottom w:val="0"/>
              <w:divBdr>
                <w:top w:val="none" w:sz="0" w:space="0" w:color="auto"/>
                <w:left w:val="none" w:sz="0" w:space="0" w:color="auto"/>
                <w:bottom w:val="none" w:sz="0" w:space="0" w:color="auto"/>
                <w:right w:val="none" w:sz="0" w:space="0" w:color="auto"/>
              </w:divBdr>
            </w:div>
            <w:div w:id="1663657862">
              <w:marLeft w:val="0"/>
              <w:marRight w:val="0"/>
              <w:marTop w:val="0"/>
              <w:marBottom w:val="0"/>
              <w:divBdr>
                <w:top w:val="none" w:sz="0" w:space="0" w:color="auto"/>
                <w:left w:val="none" w:sz="0" w:space="0" w:color="auto"/>
                <w:bottom w:val="none" w:sz="0" w:space="0" w:color="auto"/>
                <w:right w:val="none" w:sz="0" w:space="0" w:color="auto"/>
              </w:divBdr>
            </w:div>
            <w:div w:id="16636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7868">
      <w:marLeft w:val="0"/>
      <w:marRight w:val="0"/>
      <w:marTop w:val="0"/>
      <w:marBottom w:val="0"/>
      <w:divBdr>
        <w:top w:val="none" w:sz="0" w:space="0" w:color="auto"/>
        <w:left w:val="none" w:sz="0" w:space="0" w:color="auto"/>
        <w:bottom w:val="none" w:sz="0" w:space="0" w:color="auto"/>
        <w:right w:val="none" w:sz="0" w:space="0" w:color="auto"/>
      </w:divBdr>
    </w:div>
    <w:div w:id="1663657869">
      <w:marLeft w:val="0"/>
      <w:marRight w:val="0"/>
      <w:marTop w:val="0"/>
      <w:marBottom w:val="0"/>
      <w:divBdr>
        <w:top w:val="none" w:sz="0" w:space="0" w:color="auto"/>
        <w:left w:val="none" w:sz="0" w:space="0" w:color="auto"/>
        <w:bottom w:val="none" w:sz="0" w:space="0" w:color="auto"/>
        <w:right w:val="none" w:sz="0" w:space="0" w:color="auto"/>
      </w:divBdr>
    </w:div>
    <w:div w:id="1663657870">
      <w:marLeft w:val="0"/>
      <w:marRight w:val="0"/>
      <w:marTop w:val="0"/>
      <w:marBottom w:val="0"/>
      <w:divBdr>
        <w:top w:val="none" w:sz="0" w:space="0" w:color="auto"/>
        <w:left w:val="none" w:sz="0" w:space="0" w:color="auto"/>
        <w:bottom w:val="none" w:sz="0" w:space="0" w:color="auto"/>
        <w:right w:val="none" w:sz="0" w:space="0" w:color="auto"/>
      </w:divBdr>
    </w:div>
    <w:div w:id="1663657871">
      <w:marLeft w:val="0"/>
      <w:marRight w:val="0"/>
      <w:marTop w:val="0"/>
      <w:marBottom w:val="0"/>
      <w:divBdr>
        <w:top w:val="none" w:sz="0" w:space="0" w:color="auto"/>
        <w:left w:val="none" w:sz="0" w:space="0" w:color="auto"/>
        <w:bottom w:val="none" w:sz="0" w:space="0" w:color="auto"/>
        <w:right w:val="none" w:sz="0" w:space="0" w:color="auto"/>
      </w:divBdr>
    </w:div>
    <w:div w:id="1663657872">
      <w:marLeft w:val="0"/>
      <w:marRight w:val="0"/>
      <w:marTop w:val="0"/>
      <w:marBottom w:val="0"/>
      <w:divBdr>
        <w:top w:val="none" w:sz="0" w:space="0" w:color="auto"/>
        <w:left w:val="none" w:sz="0" w:space="0" w:color="auto"/>
        <w:bottom w:val="none" w:sz="0" w:space="0" w:color="auto"/>
        <w:right w:val="none" w:sz="0" w:space="0" w:color="auto"/>
      </w:divBdr>
    </w:div>
    <w:div w:id="1663657875">
      <w:marLeft w:val="0"/>
      <w:marRight w:val="0"/>
      <w:marTop w:val="0"/>
      <w:marBottom w:val="0"/>
      <w:divBdr>
        <w:top w:val="none" w:sz="0" w:space="0" w:color="auto"/>
        <w:left w:val="none" w:sz="0" w:space="0" w:color="auto"/>
        <w:bottom w:val="none" w:sz="0" w:space="0" w:color="auto"/>
        <w:right w:val="none" w:sz="0" w:space="0" w:color="auto"/>
      </w:divBdr>
    </w:div>
    <w:div w:id="1663657876">
      <w:marLeft w:val="0"/>
      <w:marRight w:val="0"/>
      <w:marTop w:val="0"/>
      <w:marBottom w:val="0"/>
      <w:divBdr>
        <w:top w:val="none" w:sz="0" w:space="0" w:color="auto"/>
        <w:left w:val="none" w:sz="0" w:space="0" w:color="auto"/>
        <w:bottom w:val="none" w:sz="0" w:space="0" w:color="auto"/>
        <w:right w:val="none" w:sz="0" w:space="0" w:color="auto"/>
      </w:divBdr>
    </w:div>
    <w:div w:id="1663657877">
      <w:marLeft w:val="0"/>
      <w:marRight w:val="0"/>
      <w:marTop w:val="0"/>
      <w:marBottom w:val="0"/>
      <w:divBdr>
        <w:top w:val="none" w:sz="0" w:space="0" w:color="auto"/>
        <w:left w:val="none" w:sz="0" w:space="0" w:color="auto"/>
        <w:bottom w:val="none" w:sz="0" w:space="0" w:color="auto"/>
        <w:right w:val="none" w:sz="0" w:space="0" w:color="auto"/>
      </w:divBdr>
    </w:div>
    <w:div w:id="1663657878">
      <w:marLeft w:val="0"/>
      <w:marRight w:val="0"/>
      <w:marTop w:val="0"/>
      <w:marBottom w:val="0"/>
      <w:divBdr>
        <w:top w:val="none" w:sz="0" w:space="0" w:color="auto"/>
        <w:left w:val="none" w:sz="0" w:space="0" w:color="auto"/>
        <w:bottom w:val="none" w:sz="0" w:space="0" w:color="auto"/>
        <w:right w:val="none" w:sz="0" w:space="0" w:color="auto"/>
      </w:divBdr>
    </w:div>
    <w:div w:id="1663657879">
      <w:marLeft w:val="0"/>
      <w:marRight w:val="0"/>
      <w:marTop w:val="0"/>
      <w:marBottom w:val="0"/>
      <w:divBdr>
        <w:top w:val="none" w:sz="0" w:space="0" w:color="auto"/>
        <w:left w:val="none" w:sz="0" w:space="0" w:color="auto"/>
        <w:bottom w:val="none" w:sz="0" w:space="0" w:color="auto"/>
        <w:right w:val="none" w:sz="0" w:space="0" w:color="auto"/>
      </w:divBdr>
      <w:divsChild>
        <w:div w:id="1663657645">
          <w:marLeft w:val="1166"/>
          <w:marRight w:val="0"/>
          <w:marTop w:val="86"/>
          <w:marBottom w:val="0"/>
          <w:divBdr>
            <w:top w:val="none" w:sz="0" w:space="0" w:color="auto"/>
            <w:left w:val="none" w:sz="0" w:space="0" w:color="auto"/>
            <w:bottom w:val="none" w:sz="0" w:space="0" w:color="auto"/>
            <w:right w:val="none" w:sz="0" w:space="0" w:color="auto"/>
          </w:divBdr>
        </w:div>
        <w:div w:id="1663657668">
          <w:marLeft w:val="1166"/>
          <w:marRight w:val="0"/>
          <w:marTop w:val="86"/>
          <w:marBottom w:val="0"/>
          <w:divBdr>
            <w:top w:val="none" w:sz="0" w:space="0" w:color="auto"/>
            <w:left w:val="none" w:sz="0" w:space="0" w:color="auto"/>
            <w:bottom w:val="none" w:sz="0" w:space="0" w:color="auto"/>
            <w:right w:val="none" w:sz="0" w:space="0" w:color="auto"/>
          </w:divBdr>
        </w:div>
        <w:div w:id="1663657873">
          <w:marLeft w:val="1166"/>
          <w:marRight w:val="0"/>
          <w:marTop w:val="86"/>
          <w:marBottom w:val="0"/>
          <w:divBdr>
            <w:top w:val="none" w:sz="0" w:space="0" w:color="auto"/>
            <w:left w:val="none" w:sz="0" w:space="0" w:color="auto"/>
            <w:bottom w:val="none" w:sz="0" w:space="0" w:color="auto"/>
            <w:right w:val="none" w:sz="0" w:space="0" w:color="auto"/>
          </w:divBdr>
        </w:div>
      </w:divsChild>
    </w:div>
    <w:div w:id="1663657880">
      <w:marLeft w:val="0"/>
      <w:marRight w:val="0"/>
      <w:marTop w:val="0"/>
      <w:marBottom w:val="0"/>
      <w:divBdr>
        <w:top w:val="none" w:sz="0" w:space="0" w:color="auto"/>
        <w:left w:val="none" w:sz="0" w:space="0" w:color="auto"/>
        <w:bottom w:val="none" w:sz="0" w:space="0" w:color="auto"/>
        <w:right w:val="none" w:sz="0" w:space="0" w:color="auto"/>
      </w:divBdr>
    </w:div>
    <w:div w:id="1663657881">
      <w:marLeft w:val="0"/>
      <w:marRight w:val="0"/>
      <w:marTop w:val="0"/>
      <w:marBottom w:val="0"/>
      <w:divBdr>
        <w:top w:val="none" w:sz="0" w:space="0" w:color="auto"/>
        <w:left w:val="none" w:sz="0" w:space="0" w:color="auto"/>
        <w:bottom w:val="none" w:sz="0" w:space="0" w:color="auto"/>
        <w:right w:val="none" w:sz="0" w:space="0" w:color="auto"/>
      </w:divBdr>
    </w:div>
    <w:div w:id="1663657882">
      <w:marLeft w:val="0"/>
      <w:marRight w:val="0"/>
      <w:marTop w:val="0"/>
      <w:marBottom w:val="0"/>
      <w:divBdr>
        <w:top w:val="none" w:sz="0" w:space="0" w:color="auto"/>
        <w:left w:val="none" w:sz="0" w:space="0" w:color="auto"/>
        <w:bottom w:val="none" w:sz="0" w:space="0" w:color="auto"/>
        <w:right w:val="none" w:sz="0" w:space="0" w:color="auto"/>
      </w:divBdr>
    </w:div>
    <w:div w:id="1663657883">
      <w:marLeft w:val="0"/>
      <w:marRight w:val="0"/>
      <w:marTop w:val="0"/>
      <w:marBottom w:val="0"/>
      <w:divBdr>
        <w:top w:val="none" w:sz="0" w:space="0" w:color="auto"/>
        <w:left w:val="none" w:sz="0" w:space="0" w:color="auto"/>
        <w:bottom w:val="none" w:sz="0" w:space="0" w:color="auto"/>
        <w:right w:val="none" w:sz="0" w:space="0" w:color="auto"/>
      </w:divBdr>
    </w:div>
    <w:div w:id="1663657884">
      <w:marLeft w:val="0"/>
      <w:marRight w:val="0"/>
      <w:marTop w:val="0"/>
      <w:marBottom w:val="0"/>
      <w:divBdr>
        <w:top w:val="none" w:sz="0" w:space="0" w:color="auto"/>
        <w:left w:val="none" w:sz="0" w:space="0" w:color="auto"/>
        <w:bottom w:val="none" w:sz="0" w:space="0" w:color="auto"/>
        <w:right w:val="none" w:sz="0" w:space="0" w:color="auto"/>
      </w:divBdr>
    </w:div>
    <w:div w:id="1663657885">
      <w:marLeft w:val="0"/>
      <w:marRight w:val="0"/>
      <w:marTop w:val="0"/>
      <w:marBottom w:val="0"/>
      <w:divBdr>
        <w:top w:val="none" w:sz="0" w:space="0" w:color="auto"/>
        <w:left w:val="none" w:sz="0" w:space="0" w:color="auto"/>
        <w:bottom w:val="none" w:sz="0" w:space="0" w:color="auto"/>
        <w:right w:val="none" w:sz="0" w:space="0" w:color="auto"/>
      </w:divBdr>
    </w:div>
    <w:div w:id="1663657889">
      <w:marLeft w:val="0"/>
      <w:marRight w:val="0"/>
      <w:marTop w:val="0"/>
      <w:marBottom w:val="0"/>
      <w:divBdr>
        <w:top w:val="none" w:sz="0" w:space="0" w:color="auto"/>
        <w:left w:val="none" w:sz="0" w:space="0" w:color="auto"/>
        <w:bottom w:val="none" w:sz="0" w:space="0" w:color="auto"/>
        <w:right w:val="none" w:sz="0" w:space="0" w:color="auto"/>
      </w:divBdr>
    </w:div>
    <w:div w:id="1663657891">
      <w:marLeft w:val="0"/>
      <w:marRight w:val="0"/>
      <w:marTop w:val="0"/>
      <w:marBottom w:val="0"/>
      <w:divBdr>
        <w:top w:val="none" w:sz="0" w:space="0" w:color="auto"/>
        <w:left w:val="none" w:sz="0" w:space="0" w:color="auto"/>
        <w:bottom w:val="none" w:sz="0" w:space="0" w:color="auto"/>
        <w:right w:val="none" w:sz="0" w:space="0" w:color="auto"/>
      </w:divBdr>
    </w:div>
    <w:div w:id="1663657892">
      <w:marLeft w:val="0"/>
      <w:marRight w:val="0"/>
      <w:marTop w:val="0"/>
      <w:marBottom w:val="0"/>
      <w:divBdr>
        <w:top w:val="none" w:sz="0" w:space="0" w:color="auto"/>
        <w:left w:val="none" w:sz="0" w:space="0" w:color="auto"/>
        <w:bottom w:val="none" w:sz="0" w:space="0" w:color="auto"/>
        <w:right w:val="none" w:sz="0" w:space="0" w:color="auto"/>
      </w:divBdr>
    </w:div>
    <w:div w:id="1663657893">
      <w:marLeft w:val="0"/>
      <w:marRight w:val="0"/>
      <w:marTop w:val="0"/>
      <w:marBottom w:val="0"/>
      <w:divBdr>
        <w:top w:val="none" w:sz="0" w:space="0" w:color="auto"/>
        <w:left w:val="none" w:sz="0" w:space="0" w:color="auto"/>
        <w:bottom w:val="none" w:sz="0" w:space="0" w:color="auto"/>
        <w:right w:val="none" w:sz="0" w:space="0" w:color="auto"/>
      </w:divBdr>
    </w:div>
    <w:div w:id="1663657895">
      <w:marLeft w:val="0"/>
      <w:marRight w:val="0"/>
      <w:marTop w:val="0"/>
      <w:marBottom w:val="0"/>
      <w:divBdr>
        <w:top w:val="none" w:sz="0" w:space="0" w:color="auto"/>
        <w:left w:val="none" w:sz="0" w:space="0" w:color="auto"/>
        <w:bottom w:val="none" w:sz="0" w:space="0" w:color="auto"/>
        <w:right w:val="none" w:sz="0" w:space="0" w:color="auto"/>
      </w:divBdr>
    </w:div>
    <w:div w:id="1663657896">
      <w:marLeft w:val="0"/>
      <w:marRight w:val="0"/>
      <w:marTop w:val="0"/>
      <w:marBottom w:val="0"/>
      <w:divBdr>
        <w:top w:val="none" w:sz="0" w:space="0" w:color="auto"/>
        <w:left w:val="none" w:sz="0" w:space="0" w:color="auto"/>
        <w:bottom w:val="none" w:sz="0" w:space="0" w:color="auto"/>
        <w:right w:val="none" w:sz="0" w:space="0" w:color="auto"/>
      </w:divBdr>
    </w:div>
    <w:div w:id="1663657899">
      <w:marLeft w:val="0"/>
      <w:marRight w:val="0"/>
      <w:marTop w:val="0"/>
      <w:marBottom w:val="0"/>
      <w:divBdr>
        <w:top w:val="none" w:sz="0" w:space="0" w:color="auto"/>
        <w:left w:val="none" w:sz="0" w:space="0" w:color="auto"/>
        <w:bottom w:val="none" w:sz="0" w:space="0" w:color="auto"/>
        <w:right w:val="none" w:sz="0" w:space="0" w:color="auto"/>
      </w:divBdr>
    </w:div>
    <w:div w:id="1663657900">
      <w:marLeft w:val="0"/>
      <w:marRight w:val="0"/>
      <w:marTop w:val="0"/>
      <w:marBottom w:val="0"/>
      <w:divBdr>
        <w:top w:val="none" w:sz="0" w:space="0" w:color="auto"/>
        <w:left w:val="none" w:sz="0" w:space="0" w:color="auto"/>
        <w:bottom w:val="none" w:sz="0" w:space="0" w:color="auto"/>
        <w:right w:val="none" w:sz="0" w:space="0" w:color="auto"/>
      </w:divBdr>
    </w:div>
    <w:div w:id="1663657902">
      <w:marLeft w:val="0"/>
      <w:marRight w:val="0"/>
      <w:marTop w:val="0"/>
      <w:marBottom w:val="0"/>
      <w:divBdr>
        <w:top w:val="none" w:sz="0" w:space="0" w:color="auto"/>
        <w:left w:val="none" w:sz="0" w:space="0" w:color="auto"/>
        <w:bottom w:val="none" w:sz="0" w:space="0" w:color="auto"/>
        <w:right w:val="none" w:sz="0" w:space="0" w:color="auto"/>
      </w:divBdr>
      <w:divsChild>
        <w:div w:id="1663657642">
          <w:marLeft w:val="1166"/>
          <w:marRight w:val="0"/>
          <w:marTop w:val="77"/>
          <w:marBottom w:val="0"/>
          <w:divBdr>
            <w:top w:val="none" w:sz="0" w:space="0" w:color="auto"/>
            <w:left w:val="none" w:sz="0" w:space="0" w:color="auto"/>
            <w:bottom w:val="none" w:sz="0" w:space="0" w:color="auto"/>
            <w:right w:val="none" w:sz="0" w:space="0" w:color="auto"/>
          </w:divBdr>
        </w:div>
        <w:div w:id="1663657890">
          <w:marLeft w:val="547"/>
          <w:marRight w:val="0"/>
          <w:marTop w:val="77"/>
          <w:marBottom w:val="0"/>
          <w:divBdr>
            <w:top w:val="none" w:sz="0" w:space="0" w:color="auto"/>
            <w:left w:val="none" w:sz="0" w:space="0" w:color="auto"/>
            <w:bottom w:val="none" w:sz="0" w:space="0" w:color="auto"/>
            <w:right w:val="none" w:sz="0" w:space="0" w:color="auto"/>
          </w:divBdr>
        </w:div>
        <w:div w:id="1663657905">
          <w:marLeft w:val="1800"/>
          <w:marRight w:val="0"/>
          <w:marTop w:val="77"/>
          <w:marBottom w:val="0"/>
          <w:divBdr>
            <w:top w:val="none" w:sz="0" w:space="0" w:color="auto"/>
            <w:left w:val="none" w:sz="0" w:space="0" w:color="auto"/>
            <w:bottom w:val="none" w:sz="0" w:space="0" w:color="auto"/>
            <w:right w:val="none" w:sz="0" w:space="0" w:color="auto"/>
          </w:divBdr>
        </w:div>
        <w:div w:id="1663657919">
          <w:marLeft w:val="547"/>
          <w:marRight w:val="0"/>
          <w:marTop w:val="77"/>
          <w:marBottom w:val="0"/>
          <w:divBdr>
            <w:top w:val="none" w:sz="0" w:space="0" w:color="auto"/>
            <w:left w:val="none" w:sz="0" w:space="0" w:color="auto"/>
            <w:bottom w:val="none" w:sz="0" w:space="0" w:color="auto"/>
            <w:right w:val="none" w:sz="0" w:space="0" w:color="auto"/>
          </w:divBdr>
        </w:div>
        <w:div w:id="1663657923">
          <w:marLeft w:val="1166"/>
          <w:marRight w:val="0"/>
          <w:marTop w:val="77"/>
          <w:marBottom w:val="0"/>
          <w:divBdr>
            <w:top w:val="none" w:sz="0" w:space="0" w:color="auto"/>
            <w:left w:val="none" w:sz="0" w:space="0" w:color="auto"/>
            <w:bottom w:val="none" w:sz="0" w:space="0" w:color="auto"/>
            <w:right w:val="none" w:sz="0" w:space="0" w:color="auto"/>
          </w:divBdr>
        </w:div>
        <w:div w:id="1663657926">
          <w:marLeft w:val="1166"/>
          <w:marRight w:val="0"/>
          <w:marTop w:val="77"/>
          <w:marBottom w:val="0"/>
          <w:divBdr>
            <w:top w:val="none" w:sz="0" w:space="0" w:color="auto"/>
            <w:left w:val="none" w:sz="0" w:space="0" w:color="auto"/>
            <w:bottom w:val="none" w:sz="0" w:space="0" w:color="auto"/>
            <w:right w:val="none" w:sz="0" w:space="0" w:color="auto"/>
          </w:divBdr>
        </w:div>
        <w:div w:id="1663657929">
          <w:marLeft w:val="547"/>
          <w:marRight w:val="0"/>
          <w:marTop w:val="77"/>
          <w:marBottom w:val="0"/>
          <w:divBdr>
            <w:top w:val="none" w:sz="0" w:space="0" w:color="auto"/>
            <w:left w:val="none" w:sz="0" w:space="0" w:color="auto"/>
            <w:bottom w:val="none" w:sz="0" w:space="0" w:color="auto"/>
            <w:right w:val="none" w:sz="0" w:space="0" w:color="auto"/>
          </w:divBdr>
        </w:div>
        <w:div w:id="1663657938">
          <w:marLeft w:val="1166"/>
          <w:marRight w:val="0"/>
          <w:marTop w:val="77"/>
          <w:marBottom w:val="0"/>
          <w:divBdr>
            <w:top w:val="none" w:sz="0" w:space="0" w:color="auto"/>
            <w:left w:val="none" w:sz="0" w:space="0" w:color="auto"/>
            <w:bottom w:val="none" w:sz="0" w:space="0" w:color="auto"/>
            <w:right w:val="none" w:sz="0" w:space="0" w:color="auto"/>
          </w:divBdr>
        </w:div>
        <w:div w:id="1663657948">
          <w:marLeft w:val="1166"/>
          <w:marRight w:val="0"/>
          <w:marTop w:val="77"/>
          <w:marBottom w:val="0"/>
          <w:divBdr>
            <w:top w:val="none" w:sz="0" w:space="0" w:color="auto"/>
            <w:left w:val="none" w:sz="0" w:space="0" w:color="auto"/>
            <w:bottom w:val="none" w:sz="0" w:space="0" w:color="auto"/>
            <w:right w:val="none" w:sz="0" w:space="0" w:color="auto"/>
          </w:divBdr>
        </w:div>
        <w:div w:id="1663657960">
          <w:marLeft w:val="547"/>
          <w:marRight w:val="0"/>
          <w:marTop w:val="77"/>
          <w:marBottom w:val="0"/>
          <w:divBdr>
            <w:top w:val="none" w:sz="0" w:space="0" w:color="auto"/>
            <w:left w:val="none" w:sz="0" w:space="0" w:color="auto"/>
            <w:bottom w:val="none" w:sz="0" w:space="0" w:color="auto"/>
            <w:right w:val="none" w:sz="0" w:space="0" w:color="auto"/>
          </w:divBdr>
        </w:div>
      </w:divsChild>
    </w:div>
    <w:div w:id="1663657903">
      <w:marLeft w:val="0"/>
      <w:marRight w:val="0"/>
      <w:marTop w:val="0"/>
      <w:marBottom w:val="0"/>
      <w:divBdr>
        <w:top w:val="none" w:sz="0" w:space="0" w:color="auto"/>
        <w:left w:val="none" w:sz="0" w:space="0" w:color="auto"/>
        <w:bottom w:val="none" w:sz="0" w:space="0" w:color="auto"/>
        <w:right w:val="none" w:sz="0" w:space="0" w:color="auto"/>
      </w:divBdr>
    </w:div>
    <w:div w:id="1663657908">
      <w:marLeft w:val="0"/>
      <w:marRight w:val="0"/>
      <w:marTop w:val="0"/>
      <w:marBottom w:val="0"/>
      <w:divBdr>
        <w:top w:val="none" w:sz="0" w:space="0" w:color="auto"/>
        <w:left w:val="none" w:sz="0" w:space="0" w:color="auto"/>
        <w:bottom w:val="none" w:sz="0" w:space="0" w:color="auto"/>
        <w:right w:val="none" w:sz="0" w:space="0" w:color="auto"/>
      </w:divBdr>
    </w:div>
    <w:div w:id="1663657909">
      <w:marLeft w:val="0"/>
      <w:marRight w:val="0"/>
      <w:marTop w:val="0"/>
      <w:marBottom w:val="0"/>
      <w:divBdr>
        <w:top w:val="none" w:sz="0" w:space="0" w:color="auto"/>
        <w:left w:val="none" w:sz="0" w:space="0" w:color="auto"/>
        <w:bottom w:val="none" w:sz="0" w:space="0" w:color="auto"/>
        <w:right w:val="none" w:sz="0" w:space="0" w:color="auto"/>
      </w:divBdr>
    </w:div>
    <w:div w:id="1663657910">
      <w:marLeft w:val="0"/>
      <w:marRight w:val="0"/>
      <w:marTop w:val="0"/>
      <w:marBottom w:val="0"/>
      <w:divBdr>
        <w:top w:val="none" w:sz="0" w:space="0" w:color="auto"/>
        <w:left w:val="none" w:sz="0" w:space="0" w:color="auto"/>
        <w:bottom w:val="none" w:sz="0" w:space="0" w:color="auto"/>
        <w:right w:val="none" w:sz="0" w:space="0" w:color="auto"/>
      </w:divBdr>
    </w:div>
    <w:div w:id="1663657911">
      <w:marLeft w:val="0"/>
      <w:marRight w:val="0"/>
      <w:marTop w:val="0"/>
      <w:marBottom w:val="0"/>
      <w:divBdr>
        <w:top w:val="none" w:sz="0" w:space="0" w:color="auto"/>
        <w:left w:val="none" w:sz="0" w:space="0" w:color="auto"/>
        <w:bottom w:val="none" w:sz="0" w:space="0" w:color="auto"/>
        <w:right w:val="none" w:sz="0" w:space="0" w:color="auto"/>
      </w:divBdr>
    </w:div>
    <w:div w:id="1663657912">
      <w:marLeft w:val="0"/>
      <w:marRight w:val="0"/>
      <w:marTop w:val="0"/>
      <w:marBottom w:val="0"/>
      <w:divBdr>
        <w:top w:val="none" w:sz="0" w:space="0" w:color="auto"/>
        <w:left w:val="none" w:sz="0" w:space="0" w:color="auto"/>
        <w:bottom w:val="none" w:sz="0" w:space="0" w:color="auto"/>
        <w:right w:val="none" w:sz="0" w:space="0" w:color="auto"/>
      </w:divBdr>
      <w:divsChild>
        <w:div w:id="1663657888">
          <w:marLeft w:val="1166"/>
          <w:marRight w:val="0"/>
          <w:marTop w:val="86"/>
          <w:marBottom w:val="0"/>
          <w:divBdr>
            <w:top w:val="none" w:sz="0" w:space="0" w:color="auto"/>
            <w:left w:val="none" w:sz="0" w:space="0" w:color="auto"/>
            <w:bottom w:val="none" w:sz="0" w:space="0" w:color="auto"/>
            <w:right w:val="none" w:sz="0" w:space="0" w:color="auto"/>
          </w:divBdr>
        </w:div>
        <w:div w:id="1663657906">
          <w:marLeft w:val="547"/>
          <w:marRight w:val="0"/>
          <w:marTop w:val="86"/>
          <w:marBottom w:val="0"/>
          <w:divBdr>
            <w:top w:val="none" w:sz="0" w:space="0" w:color="auto"/>
            <w:left w:val="none" w:sz="0" w:space="0" w:color="auto"/>
            <w:bottom w:val="none" w:sz="0" w:space="0" w:color="auto"/>
            <w:right w:val="none" w:sz="0" w:space="0" w:color="auto"/>
          </w:divBdr>
        </w:div>
        <w:div w:id="1663657913">
          <w:marLeft w:val="1166"/>
          <w:marRight w:val="0"/>
          <w:marTop w:val="86"/>
          <w:marBottom w:val="0"/>
          <w:divBdr>
            <w:top w:val="none" w:sz="0" w:space="0" w:color="auto"/>
            <w:left w:val="none" w:sz="0" w:space="0" w:color="auto"/>
            <w:bottom w:val="none" w:sz="0" w:space="0" w:color="auto"/>
            <w:right w:val="none" w:sz="0" w:space="0" w:color="auto"/>
          </w:divBdr>
        </w:div>
        <w:div w:id="1663657914">
          <w:marLeft w:val="547"/>
          <w:marRight w:val="0"/>
          <w:marTop w:val="86"/>
          <w:marBottom w:val="0"/>
          <w:divBdr>
            <w:top w:val="none" w:sz="0" w:space="0" w:color="auto"/>
            <w:left w:val="none" w:sz="0" w:space="0" w:color="auto"/>
            <w:bottom w:val="none" w:sz="0" w:space="0" w:color="auto"/>
            <w:right w:val="none" w:sz="0" w:space="0" w:color="auto"/>
          </w:divBdr>
        </w:div>
        <w:div w:id="1663657920">
          <w:marLeft w:val="1166"/>
          <w:marRight w:val="0"/>
          <w:marTop w:val="86"/>
          <w:marBottom w:val="0"/>
          <w:divBdr>
            <w:top w:val="none" w:sz="0" w:space="0" w:color="auto"/>
            <w:left w:val="none" w:sz="0" w:space="0" w:color="auto"/>
            <w:bottom w:val="none" w:sz="0" w:space="0" w:color="auto"/>
            <w:right w:val="none" w:sz="0" w:space="0" w:color="auto"/>
          </w:divBdr>
        </w:div>
        <w:div w:id="1663657925">
          <w:marLeft w:val="547"/>
          <w:marRight w:val="0"/>
          <w:marTop w:val="86"/>
          <w:marBottom w:val="0"/>
          <w:divBdr>
            <w:top w:val="none" w:sz="0" w:space="0" w:color="auto"/>
            <w:left w:val="none" w:sz="0" w:space="0" w:color="auto"/>
            <w:bottom w:val="none" w:sz="0" w:space="0" w:color="auto"/>
            <w:right w:val="none" w:sz="0" w:space="0" w:color="auto"/>
          </w:divBdr>
        </w:div>
        <w:div w:id="1663657927">
          <w:marLeft w:val="1800"/>
          <w:marRight w:val="0"/>
          <w:marTop w:val="86"/>
          <w:marBottom w:val="0"/>
          <w:divBdr>
            <w:top w:val="none" w:sz="0" w:space="0" w:color="auto"/>
            <w:left w:val="none" w:sz="0" w:space="0" w:color="auto"/>
            <w:bottom w:val="none" w:sz="0" w:space="0" w:color="auto"/>
            <w:right w:val="none" w:sz="0" w:space="0" w:color="auto"/>
          </w:divBdr>
        </w:div>
        <w:div w:id="1663657936">
          <w:marLeft w:val="1166"/>
          <w:marRight w:val="0"/>
          <w:marTop w:val="86"/>
          <w:marBottom w:val="0"/>
          <w:divBdr>
            <w:top w:val="none" w:sz="0" w:space="0" w:color="auto"/>
            <w:left w:val="none" w:sz="0" w:space="0" w:color="auto"/>
            <w:bottom w:val="none" w:sz="0" w:space="0" w:color="auto"/>
            <w:right w:val="none" w:sz="0" w:space="0" w:color="auto"/>
          </w:divBdr>
        </w:div>
        <w:div w:id="1663657953">
          <w:marLeft w:val="1166"/>
          <w:marRight w:val="0"/>
          <w:marTop w:val="86"/>
          <w:marBottom w:val="0"/>
          <w:divBdr>
            <w:top w:val="none" w:sz="0" w:space="0" w:color="auto"/>
            <w:left w:val="none" w:sz="0" w:space="0" w:color="auto"/>
            <w:bottom w:val="none" w:sz="0" w:space="0" w:color="auto"/>
            <w:right w:val="none" w:sz="0" w:space="0" w:color="auto"/>
          </w:divBdr>
        </w:div>
      </w:divsChild>
    </w:div>
    <w:div w:id="1663657916">
      <w:marLeft w:val="0"/>
      <w:marRight w:val="0"/>
      <w:marTop w:val="0"/>
      <w:marBottom w:val="0"/>
      <w:divBdr>
        <w:top w:val="none" w:sz="0" w:space="0" w:color="auto"/>
        <w:left w:val="none" w:sz="0" w:space="0" w:color="auto"/>
        <w:bottom w:val="none" w:sz="0" w:space="0" w:color="auto"/>
        <w:right w:val="none" w:sz="0" w:space="0" w:color="auto"/>
      </w:divBdr>
    </w:div>
    <w:div w:id="1663657917">
      <w:marLeft w:val="0"/>
      <w:marRight w:val="0"/>
      <w:marTop w:val="0"/>
      <w:marBottom w:val="0"/>
      <w:divBdr>
        <w:top w:val="none" w:sz="0" w:space="0" w:color="auto"/>
        <w:left w:val="none" w:sz="0" w:space="0" w:color="auto"/>
        <w:bottom w:val="none" w:sz="0" w:space="0" w:color="auto"/>
        <w:right w:val="none" w:sz="0" w:space="0" w:color="auto"/>
      </w:divBdr>
    </w:div>
    <w:div w:id="1663657918">
      <w:marLeft w:val="0"/>
      <w:marRight w:val="0"/>
      <w:marTop w:val="0"/>
      <w:marBottom w:val="0"/>
      <w:divBdr>
        <w:top w:val="none" w:sz="0" w:space="0" w:color="auto"/>
        <w:left w:val="none" w:sz="0" w:space="0" w:color="auto"/>
        <w:bottom w:val="none" w:sz="0" w:space="0" w:color="auto"/>
        <w:right w:val="none" w:sz="0" w:space="0" w:color="auto"/>
      </w:divBdr>
      <w:divsChild>
        <w:div w:id="1663657894">
          <w:marLeft w:val="994"/>
          <w:marRight w:val="0"/>
          <w:marTop w:val="0"/>
          <w:marBottom w:val="0"/>
          <w:divBdr>
            <w:top w:val="none" w:sz="0" w:space="0" w:color="auto"/>
            <w:left w:val="none" w:sz="0" w:space="0" w:color="auto"/>
            <w:bottom w:val="none" w:sz="0" w:space="0" w:color="auto"/>
            <w:right w:val="none" w:sz="0" w:space="0" w:color="auto"/>
          </w:divBdr>
        </w:div>
        <w:div w:id="1663657901">
          <w:marLeft w:val="994"/>
          <w:marRight w:val="0"/>
          <w:marTop w:val="0"/>
          <w:marBottom w:val="0"/>
          <w:divBdr>
            <w:top w:val="none" w:sz="0" w:space="0" w:color="auto"/>
            <w:left w:val="none" w:sz="0" w:space="0" w:color="auto"/>
            <w:bottom w:val="none" w:sz="0" w:space="0" w:color="auto"/>
            <w:right w:val="none" w:sz="0" w:space="0" w:color="auto"/>
          </w:divBdr>
        </w:div>
        <w:div w:id="1663657904">
          <w:marLeft w:val="418"/>
          <w:marRight w:val="0"/>
          <w:marTop w:val="132"/>
          <w:marBottom w:val="0"/>
          <w:divBdr>
            <w:top w:val="none" w:sz="0" w:space="0" w:color="auto"/>
            <w:left w:val="none" w:sz="0" w:space="0" w:color="auto"/>
            <w:bottom w:val="none" w:sz="0" w:space="0" w:color="auto"/>
            <w:right w:val="none" w:sz="0" w:space="0" w:color="auto"/>
          </w:divBdr>
        </w:div>
        <w:div w:id="1663657907">
          <w:marLeft w:val="418"/>
          <w:marRight w:val="0"/>
          <w:marTop w:val="0"/>
          <w:marBottom w:val="0"/>
          <w:divBdr>
            <w:top w:val="none" w:sz="0" w:space="0" w:color="auto"/>
            <w:left w:val="none" w:sz="0" w:space="0" w:color="auto"/>
            <w:bottom w:val="none" w:sz="0" w:space="0" w:color="auto"/>
            <w:right w:val="none" w:sz="0" w:space="0" w:color="auto"/>
          </w:divBdr>
        </w:div>
        <w:div w:id="1663657915">
          <w:marLeft w:val="994"/>
          <w:marRight w:val="0"/>
          <w:marTop w:val="0"/>
          <w:marBottom w:val="0"/>
          <w:divBdr>
            <w:top w:val="none" w:sz="0" w:space="0" w:color="auto"/>
            <w:left w:val="none" w:sz="0" w:space="0" w:color="auto"/>
            <w:bottom w:val="none" w:sz="0" w:space="0" w:color="auto"/>
            <w:right w:val="none" w:sz="0" w:space="0" w:color="auto"/>
          </w:divBdr>
        </w:div>
        <w:div w:id="1663657937">
          <w:marLeft w:val="418"/>
          <w:marRight w:val="0"/>
          <w:marTop w:val="132"/>
          <w:marBottom w:val="0"/>
          <w:divBdr>
            <w:top w:val="none" w:sz="0" w:space="0" w:color="auto"/>
            <w:left w:val="none" w:sz="0" w:space="0" w:color="auto"/>
            <w:bottom w:val="none" w:sz="0" w:space="0" w:color="auto"/>
            <w:right w:val="none" w:sz="0" w:space="0" w:color="auto"/>
          </w:divBdr>
        </w:div>
      </w:divsChild>
    </w:div>
    <w:div w:id="1663657921">
      <w:marLeft w:val="0"/>
      <w:marRight w:val="0"/>
      <w:marTop w:val="0"/>
      <w:marBottom w:val="0"/>
      <w:divBdr>
        <w:top w:val="none" w:sz="0" w:space="0" w:color="auto"/>
        <w:left w:val="none" w:sz="0" w:space="0" w:color="auto"/>
        <w:bottom w:val="none" w:sz="0" w:space="0" w:color="auto"/>
        <w:right w:val="none" w:sz="0" w:space="0" w:color="auto"/>
      </w:divBdr>
    </w:div>
    <w:div w:id="1663657922">
      <w:marLeft w:val="0"/>
      <w:marRight w:val="0"/>
      <w:marTop w:val="0"/>
      <w:marBottom w:val="0"/>
      <w:divBdr>
        <w:top w:val="none" w:sz="0" w:space="0" w:color="auto"/>
        <w:left w:val="none" w:sz="0" w:space="0" w:color="auto"/>
        <w:bottom w:val="none" w:sz="0" w:space="0" w:color="auto"/>
        <w:right w:val="none" w:sz="0" w:space="0" w:color="auto"/>
      </w:divBdr>
    </w:div>
    <w:div w:id="1663657924">
      <w:marLeft w:val="0"/>
      <w:marRight w:val="0"/>
      <w:marTop w:val="0"/>
      <w:marBottom w:val="0"/>
      <w:divBdr>
        <w:top w:val="none" w:sz="0" w:space="0" w:color="auto"/>
        <w:left w:val="none" w:sz="0" w:space="0" w:color="auto"/>
        <w:bottom w:val="none" w:sz="0" w:space="0" w:color="auto"/>
        <w:right w:val="none" w:sz="0" w:space="0" w:color="auto"/>
      </w:divBdr>
    </w:div>
    <w:div w:id="1663657928">
      <w:marLeft w:val="0"/>
      <w:marRight w:val="0"/>
      <w:marTop w:val="0"/>
      <w:marBottom w:val="0"/>
      <w:divBdr>
        <w:top w:val="none" w:sz="0" w:space="0" w:color="auto"/>
        <w:left w:val="none" w:sz="0" w:space="0" w:color="auto"/>
        <w:bottom w:val="none" w:sz="0" w:space="0" w:color="auto"/>
        <w:right w:val="none" w:sz="0" w:space="0" w:color="auto"/>
      </w:divBdr>
    </w:div>
    <w:div w:id="1663657930">
      <w:marLeft w:val="0"/>
      <w:marRight w:val="0"/>
      <w:marTop w:val="0"/>
      <w:marBottom w:val="0"/>
      <w:divBdr>
        <w:top w:val="none" w:sz="0" w:space="0" w:color="auto"/>
        <w:left w:val="none" w:sz="0" w:space="0" w:color="auto"/>
        <w:bottom w:val="none" w:sz="0" w:space="0" w:color="auto"/>
        <w:right w:val="none" w:sz="0" w:space="0" w:color="auto"/>
      </w:divBdr>
    </w:div>
    <w:div w:id="1663657931">
      <w:marLeft w:val="0"/>
      <w:marRight w:val="0"/>
      <w:marTop w:val="0"/>
      <w:marBottom w:val="0"/>
      <w:divBdr>
        <w:top w:val="none" w:sz="0" w:space="0" w:color="auto"/>
        <w:left w:val="none" w:sz="0" w:space="0" w:color="auto"/>
        <w:bottom w:val="none" w:sz="0" w:space="0" w:color="auto"/>
        <w:right w:val="none" w:sz="0" w:space="0" w:color="auto"/>
      </w:divBdr>
    </w:div>
    <w:div w:id="1663657932">
      <w:marLeft w:val="0"/>
      <w:marRight w:val="0"/>
      <w:marTop w:val="0"/>
      <w:marBottom w:val="0"/>
      <w:divBdr>
        <w:top w:val="none" w:sz="0" w:space="0" w:color="auto"/>
        <w:left w:val="none" w:sz="0" w:space="0" w:color="auto"/>
        <w:bottom w:val="none" w:sz="0" w:space="0" w:color="auto"/>
        <w:right w:val="none" w:sz="0" w:space="0" w:color="auto"/>
      </w:divBdr>
    </w:div>
    <w:div w:id="1663657935">
      <w:marLeft w:val="0"/>
      <w:marRight w:val="0"/>
      <w:marTop w:val="0"/>
      <w:marBottom w:val="0"/>
      <w:divBdr>
        <w:top w:val="none" w:sz="0" w:space="0" w:color="auto"/>
        <w:left w:val="none" w:sz="0" w:space="0" w:color="auto"/>
        <w:bottom w:val="none" w:sz="0" w:space="0" w:color="auto"/>
        <w:right w:val="none" w:sz="0" w:space="0" w:color="auto"/>
      </w:divBdr>
      <w:divsChild>
        <w:div w:id="1663657640">
          <w:marLeft w:val="1166"/>
          <w:marRight w:val="0"/>
          <w:marTop w:val="77"/>
          <w:marBottom w:val="0"/>
          <w:divBdr>
            <w:top w:val="none" w:sz="0" w:space="0" w:color="auto"/>
            <w:left w:val="none" w:sz="0" w:space="0" w:color="auto"/>
            <w:bottom w:val="none" w:sz="0" w:space="0" w:color="auto"/>
            <w:right w:val="none" w:sz="0" w:space="0" w:color="auto"/>
          </w:divBdr>
        </w:div>
        <w:div w:id="1663657886">
          <w:marLeft w:val="1166"/>
          <w:marRight w:val="0"/>
          <w:marTop w:val="77"/>
          <w:marBottom w:val="0"/>
          <w:divBdr>
            <w:top w:val="none" w:sz="0" w:space="0" w:color="auto"/>
            <w:left w:val="none" w:sz="0" w:space="0" w:color="auto"/>
            <w:bottom w:val="none" w:sz="0" w:space="0" w:color="auto"/>
            <w:right w:val="none" w:sz="0" w:space="0" w:color="auto"/>
          </w:divBdr>
        </w:div>
        <w:div w:id="1663657887">
          <w:marLeft w:val="547"/>
          <w:marRight w:val="0"/>
          <w:marTop w:val="77"/>
          <w:marBottom w:val="0"/>
          <w:divBdr>
            <w:top w:val="none" w:sz="0" w:space="0" w:color="auto"/>
            <w:left w:val="none" w:sz="0" w:space="0" w:color="auto"/>
            <w:bottom w:val="none" w:sz="0" w:space="0" w:color="auto"/>
            <w:right w:val="none" w:sz="0" w:space="0" w:color="auto"/>
          </w:divBdr>
        </w:div>
        <w:div w:id="1663657897">
          <w:marLeft w:val="547"/>
          <w:marRight w:val="0"/>
          <w:marTop w:val="77"/>
          <w:marBottom w:val="0"/>
          <w:divBdr>
            <w:top w:val="none" w:sz="0" w:space="0" w:color="auto"/>
            <w:left w:val="none" w:sz="0" w:space="0" w:color="auto"/>
            <w:bottom w:val="none" w:sz="0" w:space="0" w:color="auto"/>
            <w:right w:val="none" w:sz="0" w:space="0" w:color="auto"/>
          </w:divBdr>
        </w:div>
        <w:div w:id="1663657898">
          <w:marLeft w:val="1166"/>
          <w:marRight w:val="0"/>
          <w:marTop w:val="77"/>
          <w:marBottom w:val="0"/>
          <w:divBdr>
            <w:top w:val="none" w:sz="0" w:space="0" w:color="auto"/>
            <w:left w:val="none" w:sz="0" w:space="0" w:color="auto"/>
            <w:bottom w:val="none" w:sz="0" w:space="0" w:color="auto"/>
            <w:right w:val="none" w:sz="0" w:space="0" w:color="auto"/>
          </w:divBdr>
        </w:div>
        <w:div w:id="1663657933">
          <w:marLeft w:val="547"/>
          <w:marRight w:val="0"/>
          <w:marTop w:val="77"/>
          <w:marBottom w:val="0"/>
          <w:divBdr>
            <w:top w:val="none" w:sz="0" w:space="0" w:color="auto"/>
            <w:left w:val="none" w:sz="0" w:space="0" w:color="auto"/>
            <w:bottom w:val="none" w:sz="0" w:space="0" w:color="auto"/>
            <w:right w:val="none" w:sz="0" w:space="0" w:color="auto"/>
          </w:divBdr>
        </w:div>
        <w:div w:id="1663657934">
          <w:marLeft w:val="547"/>
          <w:marRight w:val="0"/>
          <w:marTop w:val="77"/>
          <w:marBottom w:val="0"/>
          <w:divBdr>
            <w:top w:val="none" w:sz="0" w:space="0" w:color="auto"/>
            <w:left w:val="none" w:sz="0" w:space="0" w:color="auto"/>
            <w:bottom w:val="none" w:sz="0" w:space="0" w:color="auto"/>
            <w:right w:val="none" w:sz="0" w:space="0" w:color="auto"/>
          </w:divBdr>
        </w:div>
        <w:div w:id="1663657940">
          <w:marLeft w:val="1166"/>
          <w:marRight w:val="0"/>
          <w:marTop w:val="77"/>
          <w:marBottom w:val="0"/>
          <w:divBdr>
            <w:top w:val="none" w:sz="0" w:space="0" w:color="auto"/>
            <w:left w:val="none" w:sz="0" w:space="0" w:color="auto"/>
            <w:bottom w:val="none" w:sz="0" w:space="0" w:color="auto"/>
            <w:right w:val="none" w:sz="0" w:space="0" w:color="auto"/>
          </w:divBdr>
        </w:div>
        <w:div w:id="1663657947">
          <w:marLeft w:val="1166"/>
          <w:marRight w:val="0"/>
          <w:marTop w:val="77"/>
          <w:marBottom w:val="0"/>
          <w:divBdr>
            <w:top w:val="none" w:sz="0" w:space="0" w:color="auto"/>
            <w:left w:val="none" w:sz="0" w:space="0" w:color="auto"/>
            <w:bottom w:val="none" w:sz="0" w:space="0" w:color="auto"/>
            <w:right w:val="none" w:sz="0" w:space="0" w:color="auto"/>
          </w:divBdr>
        </w:div>
        <w:div w:id="1663657949">
          <w:marLeft w:val="547"/>
          <w:marRight w:val="0"/>
          <w:marTop w:val="77"/>
          <w:marBottom w:val="0"/>
          <w:divBdr>
            <w:top w:val="none" w:sz="0" w:space="0" w:color="auto"/>
            <w:left w:val="none" w:sz="0" w:space="0" w:color="auto"/>
            <w:bottom w:val="none" w:sz="0" w:space="0" w:color="auto"/>
            <w:right w:val="none" w:sz="0" w:space="0" w:color="auto"/>
          </w:divBdr>
        </w:div>
        <w:div w:id="1663657951">
          <w:marLeft w:val="1166"/>
          <w:marRight w:val="0"/>
          <w:marTop w:val="77"/>
          <w:marBottom w:val="0"/>
          <w:divBdr>
            <w:top w:val="none" w:sz="0" w:space="0" w:color="auto"/>
            <w:left w:val="none" w:sz="0" w:space="0" w:color="auto"/>
            <w:bottom w:val="none" w:sz="0" w:space="0" w:color="auto"/>
            <w:right w:val="none" w:sz="0" w:space="0" w:color="auto"/>
          </w:divBdr>
        </w:div>
        <w:div w:id="1663657957">
          <w:marLeft w:val="1166"/>
          <w:marRight w:val="0"/>
          <w:marTop w:val="77"/>
          <w:marBottom w:val="0"/>
          <w:divBdr>
            <w:top w:val="none" w:sz="0" w:space="0" w:color="auto"/>
            <w:left w:val="none" w:sz="0" w:space="0" w:color="auto"/>
            <w:bottom w:val="none" w:sz="0" w:space="0" w:color="auto"/>
            <w:right w:val="none" w:sz="0" w:space="0" w:color="auto"/>
          </w:divBdr>
        </w:div>
        <w:div w:id="1663657958">
          <w:marLeft w:val="547"/>
          <w:marRight w:val="0"/>
          <w:marTop w:val="77"/>
          <w:marBottom w:val="0"/>
          <w:divBdr>
            <w:top w:val="none" w:sz="0" w:space="0" w:color="auto"/>
            <w:left w:val="none" w:sz="0" w:space="0" w:color="auto"/>
            <w:bottom w:val="none" w:sz="0" w:space="0" w:color="auto"/>
            <w:right w:val="none" w:sz="0" w:space="0" w:color="auto"/>
          </w:divBdr>
        </w:div>
      </w:divsChild>
    </w:div>
    <w:div w:id="1663657939">
      <w:marLeft w:val="0"/>
      <w:marRight w:val="0"/>
      <w:marTop w:val="0"/>
      <w:marBottom w:val="0"/>
      <w:divBdr>
        <w:top w:val="none" w:sz="0" w:space="0" w:color="auto"/>
        <w:left w:val="none" w:sz="0" w:space="0" w:color="auto"/>
        <w:bottom w:val="none" w:sz="0" w:space="0" w:color="auto"/>
        <w:right w:val="none" w:sz="0" w:space="0" w:color="auto"/>
      </w:divBdr>
    </w:div>
    <w:div w:id="1663657941">
      <w:marLeft w:val="0"/>
      <w:marRight w:val="0"/>
      <w:marTop w:val="0"/>
      <w:marBottom w:val="0"/>
      <w:divBdr>
        <w:top w:val="none" w:sz="0" w:space="0" w:color="auto"/>
        <w:left w:val="none" w:sz="0" w:space="0" w:color="auto"/>
        <w:bottom w:val="none" w:sz="0" w:space="0" w:color="auto"/>
        <w:right w:val="none" w:sz="0" w:space="0" w:color="auto"/>
      </w:divBdr>
    </w:div>
    <w:div w:id="1663657942">
      <w:marLeft w:val="0"/>
      <w:marRight w:val="0"/>
      <w:marTop w:val="0"/>
      <w:marBottom w:val="0"/>
      <w:divBdr>
        <w:top w:val="none" w:sz="0" w:space="0" w:color="auto"/>
        <w:left w:val="none" w:sz="0" w:space="0" w:color="auto"/>
        <w:bottom w:val="none" w:sz="0" w:space="0" w:color="auto"/>
        <w:right w:val="none" w:sz="0" w:space="0" w:color="auto"/>
      </w:divBdr>
    </w:div>
    <w:div w:id="1663657943">
      <w:marLeft w:val="0"/>
      <w:marRight w:val="0"/>
      <w:marTop w:val="0"/>
      <w:marBottom w:val="0"/>
      <w:divBdr>
        <w:top w:val="none" w:sz="0" w:space="0" w:color="auto"/>
        <w:left w:val="none" w:sz="0" w:space="0" w:color="auto"/>
        <w:bottom w:val="none" w:sz="0" w:space="0" w:color="auto"/>
        <w:right w:val="none" w:sz="0" w:space="0" w:color="auto"/>
      </w:divBdr>
    </w:div>
    <w:div w:id="1663657944">
      <w:marLeft w:val="0"/>
      <w:marRight w:val="0"/>
      <w:marTop w:val="0"/>
      <w:marBottom w:val="0"/>
      <w:divBdr>
        <w:top w:val="none" w:sz="0" w:space="0" w:color="auto"/>
        <w:left w:val="none" w:sz="0" w:space="0" w:color="auto"/>
        <w:bottom w:val="none" w:sz="0" w:space="0" w:color="auto"/>
        <w:right w:val="none" w:sz="0" w:space="0" w:color="auto"/>
      </w:divBdr>
    </w:div>
    <w:div w:id="1663657945">
      <w:marLeft w:val="0"/>
      <w:marRight w:val="0"/>
      <w:marTop w:val="0"/>
      <w:marBottom w:val="0"/>
      <w:divBdr>
        <w:top w:val="none" w:sz="0" w:space="0" w:color="auto"/>
        <w:left w:val="none" w:sz="0" w:space="0" w:color="auto"/>
        <w:bottom w:val="none" w:sz="0" w:space="0" w:color="auto"/>
        <w:right w:val="none" w:sz="0" w:space="0" w:color="auto"/>
      </w:divBdr>
    </w:div>
    <w:div w:id="1663657946">
      <w:marLeft w:val="0"/>
      <w:marRight w:val="0"/>
      <w:marTop w:val="0"/>
      <w:marBottom w:val="0"/>
      <w:divBdr>
        <w:top w:val="none" w:sz="0" w:space="0" w:color="auto"/>
        <w:left w:val="none" w:sz="0" w:space="0" w:color="auto"/>
        <w:bottom w:val="none" w:sz="0" w:space="0" w:color="auto"/>
        <w:right w:val="none" w:sz="0" w:space="0" w:color="auto"/>
      </w:divBdr>
    </w:div>
    <w:div w:id="1663657950">
      <w:marLeft w:val="0"/>
      <w:marRight w:val="0"/>
      <w:marTop w:val="0"/>
      <w:marBottom w:val="0"/>
      <w:divBdr>
        <w:top w:val="none" w:sz="0" w:space="0" w:color="auto"/>
        <w:left w:val="none" w:sz="0" w:space="0" w:color="auto"/>
        <w:bottom w:val="none" w:sz="0" w:space="0" w:color="auto"/>
        <w:right w:val="none" w:sz="0" w:space="0" w:color="auto"/>
      </w:divBdr>
    </w:div>
    <w:div w:id="1663657952">
      <w:marLeft w:val="0"/>
      <w:marRight w:val="0"/>
      <w:marTop w:val="0"/>
      <w:marBottom w:val="0"/>
      <w:divBdr>
        <w:top w:val="none" w:sz="0" w:space="0" w:color="auto"/>
        <w:left w:val="none" w:sz="0" w:space="0" w:color="auto"/>
        <w:bottom w:val="none" w:sz="0" w:space="0" w:color="auto"/>
        <w:right w:val="none" w:sz="0" w:space="0" w:color="auto"/>
      </w:divBdr>
    </w:div>
    <w:div w:id="1663657954">
      <w:marLeft w:val="0"/>
      <w:marRight w:val="0"/>
      <w:marTop w:val="0"/>
      <w:marBottom w:val="0"/>
      <w:divBdr>
        <w:top w:val="none" w:sz="0" w:space="0" w:color="auto"/>
        <w:left w:val="none" w:sz="0" w:space="0" w:color="auto"/>
        <w:bottom w:val="none" w:sz="0" w:space="0" w:color="auto"/>
        <w:right w:val="none" w:sz="0" w:space="0" w:color="auto"/>
      </w:divBdr>
    </w:div>
    <w:div w:id="1663657955">
      <w:marLeft w:val="0"/>
      <w:marRight w:val="0"/>
      <w:marTop w:val="0"/>
      <w:marBottom w:val="0"/>
      <w:divBdr>
        <w:top w:val="none" w:sz="0" w:space="0" w:color="auto"/>
        <w:left w:val="none" w:sz="0" w:space="0" w:color="auto"/>
        <w:bottom w:val="none" w:sz="0" w:space="0" w:color="auto"/>
        <w:right w:val="none" w:sz="0" w:space="0" w:color="auto"/>
      </w:divBdr>
    </w:div>
    <w:div w:id="1663657956">
      <w:marLeft w:val="0"/>
      <w:marRight w:val="0"/>
      <w:marTop w:val="0"/>
      <w:marBottom w:val="0"/>
      <w:divBdr>
        <w:top w:val="none" w:sz="0" w:space="0" w:color="auto"/>
        <w:left w:val="none" w:sz="0" w:space="0" w:color="auto"/>
        <w:bottom w:val="none" w:sz="0" w:space="0" w:color="auto"/>
        <w:right w:val="none" w:sz="0" w:space="0" w:color="auto"/>
      </w:divBdr>
    </w:div>
    <w:div w:id="1663657959">
      <w:marLeft w:val="0"/>
      <w:marRight w:val="0"/>
      <w:marTop w:val="0"/>
      <w:marBottom w:val="0"/>
      <w:divBdr>
        <w:top w:val="none" w:sz="0" w:space="0" w:color="auto"/>
        <w:left w:val="none" w:sz="0" w:space="0" w:color="auto"/>
        <w:bottom w:val="none" w:sz="0" w:space="0" w:color="auto"/>
        <w:right w:val="none" w:sz="0" w:space="0" w:color="auto"/>
      </w:divBdr>
    </w:div>
    <w:div w:id="1663657961">
      <w:marLeft w:val="0"/>
      <w:marRight w:val="0"/>
      <w:marTop w:val="0"/>
      <w:marBottom w:val="0"/>
      <w:divBdr>
        <w:top w:val="none" w:sz="0" w:space="0" w:color="auto"/>
        <w:left w:val="none" w:sz="0" w:space="0" w:color="auto"/>
        <w:bottom w:val="none" w:sz="0" w:space="0" w:color="auto"/>
        <w:right w:val="none" w:sz="0" w:space="0" w:color="auto"/>
      </w:divBdr>
    </w:div>
    <w:div w:id="1663657962">
      <w:marLeft w:val="0"/>
      <w:marRight w:val="0"/>
      <w:marTop w:val="0"/>
      <w:marBottom w:val="0"/>
      <w:divBdr>
        <w:top w:val="none" w:sz="0" w:space="0" w:color="auto"/>
        <w:left w:val="none" w:sz="0" w:space="0" w:color="auto"/>
        <w:bottom w:val="none" w:sz="0" w:space="0" w:color="auto"/>
        <w:right w:val="none" w:sz="0" w:space="0" w:color="auto"/>
      </w:divBdr>
    </w:div>
    <w:div w:id="1666085048">
      <w:bodyDiv w:val="1"/>
      <w:marLeft w:val="0"/>
      <w:marRight w:val="0"/>
      <w:marTop w:val="0"/>
      <w:marBottom w:val="0"/>
      <w:divBdr>
        <w:top w:val="none" w:sz="0" w:space="0" w:color="auto"/>
        <w:left w:val="none" w:sz="0" w:space="0" w:color="auto"/>
        <w:bottom w:val="none" w:sz="0" w:space="0" w:color="auto"/>
        <w:right w:val="none" w:sz="0" w:space="0" w:color="auto"/>
      </w:divBdr>
    </w:div>
    <w:div w:id="1673603474">
      <w:bodyDiv w:val="1"/>
      <w:marLeft w:val="0"/>
      <w:marRight w:val="0"/>
      <w:marTop w:val="0"/>
      <w:marBottom w:val="0"/>
      <w:divBdr>
        <w:top w:val="none" w:sz="0" w:space="0" w:color="auto"/>
        <w:left w:val="none" w:sz="0" w:space="0" w:color="auto"/>
        <w:bottom w:val="none" w:sz="0" w:space="0" w:color="auto"/>
        <w:right w:val="none" w:sz="0" w:space="0" w:color="auto"/>
      </w:divBdr>
    </w:div>
    <w:div w:id="1678727415">
      <w:bodyDiv w:val="1"/>
      <w:marLeft w:val="0"/>
      <w:marRight w:val="0"/>
      <w:marTop w:val="0"/>
      <w:marBottom w:val="0"/>
      <w:divBdr>
        <w:top w:val="none" w:sz="0" w:space="0" w:color="auto"/>
        <w:left w:val="none" w:sz="0" w:space="0" w:color="auto"/>
        <w:bottom w:val="none" w:sz="0" w:space="0" w:color="auto"/>
        <w:right w:val="none" w:sz="0" w:space="0" w:color="auto"/>
      </w:divBdr>
    </w:div>
    <w:div w:id="1678732009">
      <w:bodyDiv w:val="1"/>
      <w:marLeft w:val="0"/>
      <w:marRight w:val="0"/>
      <w:marTop w:val="0"/>
      <w:marBottom w:val="0"/>
      <w:divBdr>
        <w:top w:val="none" w:sz="0" w:space="0" w:color="auto"/>
        <w:left w:val="none" w:sz="0" w:space="0" w:color="auto"/>
        <w:bottom w:val="none" w:sz="0" w:space="0" w:color="auto"/>
        <w:right w:val="none" w:sz="0" w:space="0" w:color="auto"/>
      </w:divBdr>
    </w:div>
    <w:div w:id="1698658641">
      <w:bodyDiv w:val="1"/>
      <w:marLeft w:val="0"/>
      <w:marRight w:val="0"/>
      <w:marTop w:val="0"/>
      <w:marBottom w:val="0"/>
      <w:divBdr>
        <w:top w:val="none" w:sz="0" w:space="0" w:color="auto"/>
        <w:left w:val="none" w:sz="0" w:space="0" w:color="auto"/>
        <w:bottom w:val="none" w:sz="0" w:space="0" w:color="auto"/>
        <w:right w:val="none" w:sz="0" w:space="0" w:color="auto"/>
      </w:divBdr>
    </w:div>
    <w:div w:id="1729955852">
      <w:bodyDiv w:val="1"/>
      <w:marLeft w:val="0"/>
      <w:marRight w:val="0"/>
      <w:marTop w:val="0"/>
      <w:marBottom w:val="0"/>
      <w:divBdr>
        <w:top w:val="none" w:sz="0" w:space="0" w:color="auto"/>
        <w:left w:val="none" w:sz="0" w:space="0" w:color="auto"/>
        <w:bottom w:val="none" w:sz="0" w:space="0" w:color="auto"/>
        <w:right w:val="none" w:sz="0" w:space="0" w:color="auto"/>
      </w:divBdr>
    </w:div>
    <w:div w:id="1742363418">
      <w:bodyDiv w:val="1"/>
      <w:marLeft w:val="0"/>
      <w:marRight w:val="0"/>
      <w:marTop w:val="0"/>
      <w:marBottom w:val="0"/>
      <w:divBdr>
        <w:top w:val="none" w:sz="0" w:space="0" w:color="auto"/>
        <w:left w:val="none" w:sz="0" w:space="0" w:color="auto"/>
        <w:bottom w:val="none" w:sz="0" w:space="0" w:color="auto"/>
        <w:right w:val="none" w:sz="0" w:space="0" w:color="auto"/>
      </w:divBdr>
    </w:div>
    <w:div w:id="1777216491">
      <w:bodyDiv w:val="1"/>
      <w:marLeft w:val="0"/>
      <w:marRight w:val="0"/>
      <w:marTop w:val="0"/>
      <w:marBottom w:val="0"/>
      <w:divBdr>
        <w:top w:val="none" w:sz="0" w:space="0" w:color="auto"/>
        <w:left w:val="none" w:sz="0" w:space="0" w:color="auto"/>
        <w:bottom w:val="none" w:sz="0" w:space="0" w:color="auto"/>
        <w:right w:val="none" w:sz="0" w:space="0" w:color="auto"/>
      </w:divBdr>
      <w:divsChild>
        <w:div w:id="407652742">
          <w:marLeft w:val="0"/>
          <w:marRight w:val="0"/>
          <w:marTop w:val="0"/>
          <w:marBottom w:val="0"/>
          <w:divBdr>
            <w:top w:val="none" w:sz="0" w:space="0" w:color="auto"/>
            <w:left w:val="none" w:sz="0" w:space="0" w:color="auto"/>
            <w:bottom w:val="none" w:sz="0" w:space="0" w:color="auto"/>
            <w:right w:val="none" w:sz="0" w:space="0" w:color="auto"/>
          </w:divBdr>
        </w:div>
        <w:div w:id="960107148">
          <w:marLeft w:val="0"/>
          <w:marRight w:val="0"/>
          <w:marTop w:val="0"/>
          <w:marBottom w:val="0"/>
          <w:divBdr>
            <w:top w:val="none" w:sz="0" w:space="0" w:color="auto"/>
            <w:left w:val="none" w:sz="0" w:space="0" w:color="auto"/>
            <w:bottom w:val="none" w:sz="0" w:space="0" w:color="auto"/>
            <w:right w:val="none" w:sz="0" w:space="0" w:color="auto"/>
          </w:divBdr>
        </w:div>
        <w:div w:id="25840181">
          <w:marLeft w:val="0"/>
          <w:marRight w:val="0"/>
          <w:marTop w:val="0"/>
          <w:marBottom w:val="0"/>
          <w:divBdr>
            <w:top w:val="none" w:sz="0" w:space="0" w:color="auto"/>
            <w:left w:val="none" w:sz="0" w:space="0" w:color="auto"/>
            <w:bottom w:val="none" w:sz="0" w:space="0" w:color="auto"/>
            <w:right w:val="none" w:sz="0" w:space="0" w:color="auto"/>
          </w:divBdr>
        </w:div>
        <w:div w:id="2079473084">
          <w:marLeft w:val="0"/>
          <w:marRight w:val="0"/>
          <w:marTop w:val="0"/>
          <w:marBottom w:val="0"/>
          <w:divBdr>
            <w:top w:val="none" w:sz="0" w:space="0" w:color="auto"/>
            <w:left w:val="none" w:sz="0" w:space="0" w:color="auto"/>
            <w:bottom w:val="none" w:sz="0" w:space="0" w:color="auto"/>
            <w:right w:val="none" w:sz="0" w:space="0" w:color="auto"/>
          </w:divBdr>
        </w:div>
      </w:divsChild>
    </w:div>
    <w:div w:id="1782995451">
      <w:bodyDiv w:val="1"/>
      <w:marLeft w:val="0"/>
      <w:marRight w:val="0"/>
      <w:marTop w:val="0"/>
      <w:marBottom w:val="0"/>
      <w:divBdr>
        <w:top w:val="none" w:sz="0" w:space="0" w:color="auto"/>
        <w:left w:val="none" w:sz="0" w:space="0" w:color="auto"/>
        <w:bottom w:val="none" w:sz="0" w:space="0" w:color="auto"/>
        <w:right w:val="none" w:sz="0" w:space="0" w:color="auto"/>
      </w:divBdr>
    </w:div>
    <w:div w:id="1784686210">
      <w:bodyDiv w:val="1"/>
      <w:marLeft w:val="0"/>
      <w:marRight w:val="0"/>
      <w:marTop w:val="0"/>
      <w:marBottom w:val="0"/>
      <w:divBdr>
        <w:top w:val="none" w:sz="0" w:space="0" w:color="auto"/>
        <w:left w:val="none" w:sz="0" w:space="0" w:color="auto"/>
        <w:bottom w:val="none" w:sz="0" w:space="0" w:color="auto"/>
        <w:right w:val="none" w:sz="0" w:space="0" w:color="auto"/>
      </w:divBdr>
    </w:div>
    <w:div w:id="1790392038">
      <w:bodyDiv w:val="1"/>
      <w:marLeft w:val="0"/>
      <w:marRight w:val="0"/>
      <w:marTop w:val="0"/>
      <w:marBottom w:val="0"/>
      <w:divBdr>
        <w:top w:val="none" w:sz="0" w:space="0" w:color="auto"/>
        <w:left w:val="none" w:sz="0" w:space="0" w:color="auto"/>
        <w:bottom w:val="none" w:sz="0" w:space="0" w:color="auto"/>
        <w:right w:val="none" w:sz="0" w:space="0" w:color="auto"/>
      </w:divBdr>
      <w:divsChild>
        <w:div w:id="965090366">
          <w:marLeft w:val="1166"/>
          <w:marRight w:val="0"/>
          <w:marTop w:val="96"/>
          <w:marBottom w:val="0"/>
          <w:divBdr>
            <w:top w:val="none" w:sz="0" w:space="0" w:color="auto"/>
            <w:left w:val="none" w:sz="0" w:space="0" w:color="auto"/>
            <w:bottom w:val="none" w:sz="0" w:space="0" w:color="auto"/>
            <w:right w:val="none" w:sz="0" w:space="0" w:color="auto"/>
          </w:divBdr>
        </w:div>
        <w:div w:id="1051467017">
          <w:marLeft w:val="1166"/>
          <w:marRight w:val="0"/>
          <w:marTop w:val="96"/>
          <w:marBottom w:val="0"/>
          <w:divBdr>
            <w:top w:val="none" w:sz="0" w:space="0" w:color="auto"/>
            <w:left w:val="none" w:sz="0" w:space="0" w:color="auto"/>
            <w:bottom w:val="none" w:sz="0" w:space="0" w:color="auto"/>
            <w:right w:val="none" w:sz="0" w:space="0" w:color="auto"/>
          </w:divBdr>
        </w:div>
        <w:div w:id="1216576821">
          <w:marLeft w:val="547"/>
          <w:marRight w:val="0"/>
          <w:marTop w:val="96"/>
          <w:marBottom w:val="0"/>
          <w:divBdr>
            <w:top w:val="none" w:sz="0" w:space="0" w:color="auto"/>
            <w:left w:val="none" w:sz="0" w:space="0" w:color="auto"/>
            <w:bottom w:val="none" w:sz="0" w:space="0" w:color="auto"/>
            <w:right w:val="none" w:sz="0" w:space="0" w:color="auto"/>
          </w:divBdr>
        </w:div>
        <w:div w:id="1218124494">
          <w:marLeft w:val="1166"/>
          <w:marRight w:val="0"/>
          <w:marTop w:val="96"/>
          <w:marBottom w:val="0"/>
          <w:divBdr>
            <w:top w:val="none" w:sz="0" w:space="0" w:color="auto"/>
            <w:left w:val="none" w:sz="0" w:space="0" w:color="auto"/>
            <w:bottom w:val="none" w:sz="0" w:space="0" w:color="auto"/>
            <w:right w:val="none" w:sz="0" w:space="0" w:color="auto"/>
          </w:divBdr>
        </w:div>
        <w:div w:id="1552379000">
          <w:marLeft w:val="1166"/>
          <w:marRight w:val="0"/>
          <w:marTop w:val="96"/>
          <w:marBottom w:val="0"/>
          <w:divBdr>
            <w:top w:val="none" w:sz="0" w:space="0" w:color="auto"/>
            <w:left w:val="none" w:sz="0" w:space="0" w:color="auto"/>
            <w:bottom w:val="none" w:sz="0" w:space="0" w:color="auto"/>
            <w:right w:val="none" w:sz="0" w:space="0" w:color="auto"/>
          </w:divBdr>
        </w:div>
        <w:div w:id="1612545732">
          <w:marLeft w:val="1166"/>
          <w:marRight w:val="0"/>
          <w:marTop w:val="96"/>
          <w:marBottom w:val="0"/>
          <w:divBdr>
            <w:top w:val="none" w:sz="0" w:space="0" w:color="auto"/>
            <w:left w:val="none" w:sz="0" w:space="0" w:color="auto"/>
            <w:bottom w:val="none" w:sz="0" w:space="0" w:color="auto"/>
            <w:right w:val="none" w:sz="0" w:space="0" w:color="auto"/>
          </w:divBdr>
        </w:div>
        <w:div w:id="1634015397">
          <w:marLeft w:val="547"/>
          <w:marRight w:val="0"/>
          <w:marTop w:val="96"/>
          <w:marBottom w:val="0"/>
          <w:divBdr>
            <w:top w:val="none" w:sz="0" w:space="0" w:color="auto"/>
            <w:left w:val="none" w:sz="0" w:space="0" w:color="auto"/>
            <w:bottom w:val="none" w:sz="0" w:space="0" w:color="auto"/>
            <w:right w:val="none" w:sz="0" w:space="0" w:color="auto"/>
          </w:divBdr>
        </w:div>
      </w:divsChild>
    </w:div>
    <w:div w:id="1812209725">
      <w:bodyDiv w:val="1"/>
      <w:marLeft w:val="0"/>
      <w:marRight w:val="0"/>
      <w:marTop w:val="0"/>
      <w:marBottom w:val="0"/>
      <w:divBdr>
        <w:top w:val="none" w:sz="0" w:space="0" w:color="auto"/>
        <w:left w:val="none" w:sz="0" w:space="0" w:color="auto"/>
        <w:bottom w:val="none" w:sz="0" w:space="0" w:color="auto"/>
        <w:right w:val="none" w:sz="0" w:space="0" w:color="auto"/>
      </w:divBdr>
    </w:div>
    <w:div w:id="1813015856">
      <w:bodyDiv w:val="1"/>
      <w:marLeft w:val="0"/>
      <w:marRight w:val="0"/>
      <w:marTop w:val="0"/>
      <w:marBottom w:val="0"/>
      <w:divBdr>
        <w:top w:val="none" w:sz="0" w:space="0" w:color="auto"/>
        <w:left w:val="none" w:sz="0" w:space="0" w:color="auto"/>
        <w:bottom w:val="none" w:sz="0" w:space="0" w:color="auto"/>
        <w:right w:val="none" w:sz="0" w:space="0" w:color="auto"/>
      </w:divBdr>
    </w:div>
    <w:div w:id="1858764679">
      <w:bodyDiv w:val="1"/>
      <w:marLeft w:val="0"/>
      <w:marRight w:val="0"/>
      <w:marTop w:val="0"/>
      <w:marBottom w:val="0"/>
      <w:divBdr>
        <w:top w:val="none" w:sz="0" w:space="0" w:color="auto"/>
        <w:left w:val="none" w:sz="0" w:space="0" w:color="auto"/>
        <w:bottom w:val="none" w:sz="0" w:space="0" w:color="auto"/>
        <w:right w:val="none" w:sz="0" w:space="0" w:color="auto"/>
      </w:divBdr>
    </w:div>
    <w:div w:id="1866672284">
      <w:bodyDiv w:val="1"/>
      <w:marLeft w:val="0"/>
      <w:marRight w:val="0"/>
      <w:marTop w:val="0"/>
      <w:marBottom w:val="0"/>
      <w:divBdr>
        <w:top w:val="none" w:sz="0" w:space="0" w:color="auto"/>
        <w:left w:val="none" w:sz="0" w:space="0" w:color="auto"/>
        <w:bottom w:val="none" w:sz="0" w:space="0" w:color="auto"/>
        <w:right w:val="none" w:sz="0" w:space="0" w:color="auto"/>
      </w:divBdr>
      <w:divsChild>
        <w:div w:id="780879056">
          <w:marLeft w:val="720"/>
          <w:marRight w:val="0"/>
          <w:marTop w:val="0"/>
          <w:marBottom w:val="0"/>
          <w:divBdr>
            <w:top w:val="none" w:sz="0" w:space="0" w:color="auto"/>
            <w:left w:val="none" w:sz="0" w:space="0" w:color="auto"/>
            <w:bottom w:val="none" w:sz="0" w:space="0" w:color="auto"/>
            <w:right w:val="none" w:sz="0" w:space="0" w:color="auto"/>
          </w:divBdr>
        </w:div>
      </w:divsChild>
    </w:div>
    <w:div w:id="1870950837">
      <w:bodyDiv w:val="1"/>
      <w:marLeft w:val="0"/>
      <w:marRight w:val="0"/>
      <w:marTop w:val="0"/>
      <w:marBottom w:val="0"/>
      <w:divBdr>
        <w:top w:val="none" w:sz="0" w:space="0" w:color="auto"/>
        <w:left w:val="none" w:sz="0" w:space="0" w:color="auto"/>
        <w:bottom w:val="none" w:sz="0" w:space="0" w:color="auto"/>
        <w:right w:val="none" w:sz="0" w:space="0" w:color="auto"/>
      </w:divBdr>
    </w:div>
    <w:div w:id="1877424255">
      <w:bodyDiv w:val="1"/>
      <w:marLeft w:val="0"/>
      <w:marRight w:val="0"/>
      <w:marTop w:val="0"/>
      <w:marBottom w:val="0"/>
      <w:divBdr>
        <w:top w:val="none" w:sz="0" w:space="0" w:color="auto"/>
        <w:left w:val="none" w:sz="0" w:space="0" w:color="auto"/>
        <w:bottom w:val="none" w:sz="0" w:space="0" w:color="auto"/>
        <w:right w:val="none" w:sz="0" w:space="0" w:color="auto"/>
      </w:divBdr>
      <w:divsChild>
        <w:div w:id="1831484800">
          <w:marLeft w:val="1166"/>
          <w:marRight w:val="0"/>
          <w:marTop w:val="0"/>
          <w:marBottom w:val="120"/>
          <w:divBdr>
            <w:top w:val="none" w:sz="0" w:space="0" w:color="auto"/>
            <w:left w:val="none" w:sz="0" w:space="0" w:color="auto"/>
            <w:bottom w:val="none" w:sz="0" w:space="0" w:color="auto"/>
            <w:right w:val="none" w:sz="0" w:space="0" w:color="auto"/>
          </w:divBdr>
        </w:div>
      </w:divsChild>
    </w:div>
    <w:div w:id="1883323319">
      <w:bodyDiv w:val="1"/>
      <w:marLeft w:val="0"/>
      <w:marRight w:val="0"/>
      <w:marTop w:val="0"/>
      <w:marBottom w:val="0"/>
      <w:divBdr>
        <w:top w:val="none" w:sz="0" w:space="0" w:color="auto"/>
        <w:left w:val="none" w:sz="0" w:space="0" w:color="auto"/>
        <w:bottom w:val="none" w:sz="0" w:space="0" w:color="auto"/>
        <w:right w:val="none" w:sz="0" w:space="0" w:color="auto"/>
      </w:divBdr>
    </w:div>
    <w:div w:id="1896231538">
      <w:bodyDiv w:val="1"/>
      <w:marLeft w:val="0"/>
      <w:marRight w:val="0"/>
      <w:marTop w:val="0"/>
      <w:marBottom w:val="0"/>
      <w:divBdr>
        <w:top w:val="none" w:sz="0" w:space="0" w:color="auto"/>
        <w:left w:val="none" w:sz="0" w:space="0" w:color="auto"/>
        <w:bottom w:val="none" w:sz="0" w:space="0" w:color="auto"/>
        <w:right w:val="none" w:sz="0" w:space="0" w:color="auto"/>
      </w:divBdr>
    </w:div>
    <w:div w:id="1908609514">
      <w:bodyDiv w:val="1"/>
      <w:marLeft w:val="0"/>
      <w:marRight w:val="0"/>
      <w:marTop w:val="0"/>
      <w:marBottom w:val="0"/>
      <w:divBdr>
        <w:top w:val="none" w:sz="0" w:space="0" w:color="auto"/>
        <w:left w:val="none" w:sz="0" w:space="0" w:color="auto"/>
        <w:bottom w:val="none" w:sz="0" w:space="0" w:color="auto"/>
        <w:right w:val="none" w:sz="0" w:space="0" w:color="auto"/>
      </w:divBdr>
    </w:div>
    <w:div w:id="1908689647">
      <w:bodyDiv w:val="1"/>
      <w:marLeft w:val="0"/>
      <w:marRight w:val="0"/>
      <w:marTop w:val="0"/>
      <w:marBottom w:val="0"/>
      <w:divBdr>
        <w:top w:val="none" w:sz="0" w:space="0" w:color="auto"/>
        <w:left w:val="none" w:sz="0" w:space="0" w:color="auto"/>
        <w:bottom w:val="none" w:sz="0" w:space="0" w:color="auto"/>
        <w:right w:val="none" w:sz="0" w:space="0" w:color="auto"/>
      </w:divBdr>
    </w:div>
    <w:div w:id="1918128963">
      <w:bodyDiv w:val="1"/>
      <w:marLeft w:val="0"/>
      <w:marRight w:val="0"/>
      <w:marTop w:val="0"/>
      <w:marBottom w:val="0"/>
      <w:divBdr>
        <w:top w:val="none" w:sz="0" w:space="0" w:color="auto"/>
        <w:left w:val="none" w:sz="0" w:space="0" w:color="auto"/>
        <w:bottom w:val="none" w:sz="0" w:space="0" w:color="auto"/>
        <w:right w:val="none" w:sz="0" w:space="0" w:color="auto"/>
      </w:divBdr>
    </w:div>
    <w:div w:id="1930312027">
      <w:bodyDiv w:val="1"/>
      <w:marLeft w:val="0"/>
      <w:marRight w:val="0"/>
      <w:marTop w:val="0"/>
      <w:marBottom w:val="0"/>
      <w:divBdr>
        <w:top w:val="none" w:sz="0" w:space="0" w:color="auto"/>
        <w:left w:val="none" w:sz="0" w:space="0" w:color="auto"/>
        <w:bottom w:val="none" w:sz="0" w:space="0" w:color="auto"/>
        <w:right w:val="none" w:sz="0" w:space="0" w:color="auto"/>
      </w:divBdr>
    </w:div>
    <w:div w:id="1934363291">
      <w:bodyDiv w:val="1"/>
      <w:marLeft w:val="0"/>
      <w:marRight w:val="0"/>
      <w:marTop w:val="0"/>
      <w:marBottom w:val="0"/>
      <w:divBdr>
        <w:top w:val="none" w:sz="0" w:space="0" w:color="auto"/>
        <w:left w:val="none" w:sz="0" w:space="0" w:color="auto"/>
        <w:bottom w:val="none" w:sz="0" w:space="0" w:color="auto"/>
        <w:right w:val="none" w:sz="0" w:space="0" w:color="auto"/>
      </w:divBdr>
    </w:div>
    <w:div w:id="1962609977">
      <w:bodyDiv w:val="1"/>
      <w:marLeft w:val="0"/>
      <w:marRight w:val="0"/>
      <w:marTop w:val="0"/>
      <w:marBottom w:val="0"/>
      <w:divBdr>
        <w:top w:val="none" w:sz="0" w:space="0" w:color="auto"/>
        <w:left w:val="none" w:sz="0" w:space="0" w:color="auto"/>
        <w:bottom w:val="none" w:sz="0" w:space="0" w:color="auto"/>
        <w:right w:val="none" w:sz="0" w:space="0" w:color="auto"/>
      </w:divBdr>
    </w:div>
    <w:div w:id="1983734103">
      <w:bodyDiv w:val="1"/>
      <w:marLeft w:val="0"/>
      <w:marRight w:val="0"/>
      <w:marTop w:val="0"/>
      <w:marBottom w:val="0"/>
      <w:divBdr>
        <w:top w:val="none" w:sz="0" w:space="0" w:color="auto"/>
        <w:left w:val="none" w:sz="0" w:space="0" w:color="auto"/>
        <w:bottom w:val="none" w:sz="0" w:space="0" w:color="auto"/>
        <w:right w:val="none" w:sz="0" w:space="0" w:color="auto"/>
      </w:divBdr>
    </w:div>
    <w:div w:id="1994525535">
      <w:bodyDiv w:val="1"/>
      <w:marLeft w:val="0"/>
      <w:marRight w:val="0"/>
      <w:marTop w:val="0"/>
      <w:marBottom w:val="0"/>
      <w:divBdr>
        <w:top w:val="none" w:sz="0" w:space="0" w:color="auto"/>
        <w:left w:val="none" w:sz="0" w:space="0" w:color="auto"/>
        <w:bottom w:val="none" w:sz="0" w:space="0" w:color="auto"/>
        <w:right w:val="none" w:sz="0" w:space="0" w:color="auto"/>
      </w:divBdr>
      <w:divsChild>
        <w:div w:id="635530401">
          <w:marLeft w:val="1166"/>
          <w:marRight w:val="0"/>
          <w:marTop w:val="86"/>
          <w:marBottom w:val="0"/>
          <w:divBdr>
            <w:top w:val="none" w:sz="0" w:space="0" w:color="auto"/>
            <w:left w:val="none" w:sz="0" w:space="0" w:color="auto"/>
            <w:bottom w:val="none" w:sz="0" w:space="0" w:color="auto"/>
            <w:right w:val="none" w:sz="0" w:space="0" w:color="auto"/>
          </w:divBdr>
        </w:div>
        <w:div w:id="1915624540">
          <w:marLeft w:val="547"/>
          <w:marRight w:val="0"/>
          <w:marTop w:val="96"/>
          <w:marBottom w:val="0"/>
          <w:divBdr>
            <w:top w:val="none" w:sz="0" w:space="0" w:color="auto"/>
            <w:left w:val="none" w:sz="0" w:space="0" w:color="auto"/>
            <w:bottom w:val="none" w:sz="0" w:space="0" w:color="auto"/>
            <w:right w:val="none" w:sz="0" w:space="0" w:color="auto"/>
          </w:divBdr>
        </w:div>
        <w:div w:id="2040546666">
          <w:marLeft w:val="1166"/>
          <w:marRight w:val="0"/>
          <w:marTop w:val="86"/>
          <w:marBottom w:val="0"/>
          <w:divBdr>
            <w:top w:val="none" w:sz="0" w:space="0" w:color="auto"/>
            <w:left w:val="none" w:sz="0" w:space="0" w:color="auto"/>
            <w:bottom w:val="none" w:sz="0" w:space="0" w:color="auto"/>
            <w:right w:val="none" w:sz="0" w:space="0" w:color="auto"/>
          </w:divBdr>
        </w:div>
      </w:divsChild>
    </w:div>
    <w:div w:id="2038921701">
      <w:bodyDiv w:val="1"/>
      <w:marLeft w:val="0"/>
      <w:marRight w:val="0"/>
      <w:marTop w:val="0"/>
      <w:marBottom w:val="0"/>
      <w:divBdr>
        <w:top w:val="none" w:sz="0" w:space="0" w:color="auto"/>
        <w:left w:val="none" w:sz="0" w:space="0" w:color="auto"/>
        <w:bottom w:val="none" w:sz="0" w:space="0" w:color="auto"/>
        <w:right w:val="none" w:sz="0" w:space="0" w:color="auto"/>
      </w:divBdr>
    </w:div>
    <w:div w:id="2078430783">
      <w:bodyDiv w:val="1"/>
      <w:marLeft w:val="0"/>
      <w:marRight w:val="0"/>
      <w:marTop w:val="0"/>
      <w:marBottom w:val="0"/>
      <w:divBdr>
        <w:top w:val="none" w:sz="0" w:space="0" w:color="auto"/>
        <w:left w:val="none" w:sz="0" w:space="0" w:color="auto"/>
        <w:bottom w:val="none" w:sz="0" w:space="0" w:color="auto"/>
        <w:right w:val="none" w:sz="0" w:space="0" w:color="auto"/>
      </w:divBdr>
    </w:div>
    <w:div w:id="2103837992">
      <w:bodyDiv w:val="1"/>
      <w:marLeft w:val="0"/>
      <w:marRight w:val="0"/>
      <w:marTop w:val="0"/>
      <w:marBottom w:val="0"/>
      <w:divBdr>
        <w:top w:val="none" w:sz="0" w:space="0" w:color="auto"/>
        <w:left w:val="none" w:sz="0" w:space="0" w:color="auto"/>
        <w:bottom w:val="none" w:sz="0" w:space="0" w:color="auto"/>
        <w:right w:val="none" w:sz="0" w:space="0" w:color="auto"/>
      </w:divBdr>
    </w:div>
    <w:div w:id="2113275867">
      <w:bodyDiv w:val="1"/>
      <w:marLeft w:val="0"/>
      <w:marRight w:val="0"/>
      <w:marTop w:val="0"/>
      <w:marBottom w:val="0"/>
      <w:divBdr>
        <w:top w:val="none" w:sz="0" w:space="0" w:color="auto"/>
        <w:left w:val="none" w:sz="0" w:space="0" w:color="auto"/>
        <w:bottom w:val="none" w:sz="0" w:space="0" w:color="auto"/>
        <w:right w:val="none" w:sz="0" w:space="0" w:color="auto"/>
      </w:divBdr>
    </w:div>
    <w:div w:id="21184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tradiusdutchstatebusiness.nl/en/products/" TargetMode="External"/><Relationship Id="rId21" Type="http://schemas.openxmlformats.org/officeDocument/2006/relationships/hyperlink" Target="https://www.science.org/lookup/doi/10.1126/science.aar7204" TargetMode="External"/><Relationship Id="rId42" Type="http://schemas.openxmlformats.org/officeDocument/2006/relationships/hyperlink" Target="http://priceofoil.org/content/uploads/2021/04/Briefing-for-Policy-Makers_-Greening-Export-Credit-Agencies.pdf" TargetMode="External"/><Relationship Id="rId47" Type="http://schemas.openxmlformats.org/officeDocument/2006/relationships/hyperlink" Target="https://www.rijksbegroting.nl/system/files/251/ix08-2016-finbeleidsdoorlichting-exportkredietverzekeringen.pdf" TargetMode="External"/><Relationship Id="rId63" Type="http://schemas.openxmlformats.org/officeDocument/2006/relationships/hyperlink" Target="https://legalinstruments.oecd.org/en/instruments/OECD-LEGAL-0393" TargetMode="External"/><Relationship Id="rId68" Type="http://schemas.openxmlformats.org/officeDocument/2006/relationships/hyperlink" Target="https://www.annualreviews.org/doi/pdf/10.1146/annurev-environ-110615-085934" TargetMode="External"/><Relationship Id="rId16" Type="http://schemas.openxmlformats.org/officeDocument/2006/relationships/footer" Target="footer3.xml"/><Relationship Id="rId11" Type="http://schemas.openxmlformats.org/officeDocument/2006/relationships/header" Target="header1.xml"/><Relationship Id="rId24" Type="http://schemas.openxmlformats.org/officeDocument/2006/relationships/hyperlink" Target="https://group.atradius.com/about-us/annual-reports.html" TargetMode="External"/><Relationship Id="rId32" Type="http://schemas.openxmlformats.org/officeDocument/2006/relationships/hyperlink" Target="https://www.bothends.org/uploaded_files/document/The_fossil_elephant_in_the_room_web.pdf" TargetMode="External"/><Relationship Id="rId37" Type="http://schemas.openxmlformats.org/officeDocument/2006/relationships/hyperlink" Target="https://ecostandard.org/wp-content/uploads/2021/03/2021-03-22-NGO-Letter-on-Hydrogen-EU-Taxonomy.pdf" TargetMode="External"/><Relationship Id="rId40" Type="http://schemas.openxmlformats.org/officeDocument/2006/relationships/hyperlink" Target="http://priceofoil.org/content/uploads/2021/05/Legal-opinion-K.-Cook-_-J.-Vinuales-FINAL.pdf" TargetMode="External"/><Relationship Id="rId45" Type="http://schemas.openxmlformats.org/officeDocument/2006/relationships/hyperlink" Target="https://www.fmo.nl/l/en/library/download/urn:uuid:6ca1d6f7-56ca-437d-adb9-a16c4dc55f3e/position+statement+on+phasing+out+fosil+fuels.pdf" TargetMode="External"/><Relationship Id="rId53" Type="http://schemas.openxmlformats.org/officeDocument/2006/relationships/hyperlink" Target="https://www.iea.org/reports/world-energy-investment-2020/energy-financing-and-funding" TargetMode="External"/><Relationship Id="rId58" Type="http://schemas.openxmlformats.org/officeDocument/2006/relationships/hyperlink" Target="https://www.rijksoverheid.nl/documenten/kamerstukken/2021/05/11/aanbiedingsbrief-bij-verkenning-over-in-lijn-brengen-ekv-met-de-overeenkomst-van-parijs" TargetMode="External"/><Relationship Id="rId66" Type="http://schemas.openxmlformats.org/officeDocument/2006/relationships/hyperlink" Target="https://carbonaccountingfinancials.com/newsitem/partnership-for-carbon-accounting-financials-collaborates-with-un-convened-net-zero-insurance-alliance-to-develop-standard-to-measure-insured-emissions" TargetMode="External"/><Relationship Id="rId74" Type="http://schemas.openxmlformats.org/officeDocument/2006/relationships/hyperlink" Target="https://bankwatch.org/wp-content/uploads/2018/02/ECAs-go-to-market.pdf" TargetMode="External"/><Relationship Id="rId79" Type="http://schemas.openxmlformats.org/officeDocument/2006/relationships/glossaryDocument" Target="glossary/document.xml"/><Relationship Id="rId5" Type="http://schemas.openxmlformats.org/officeDocument/2006/relationships/settings" Target="settings.xml"/><Relationship Id="rId61" Type="http://schemas.openxmlformats.org/officeDocument/2006/relationships/hyperlink" Target="https://www.tresor.economie.gouv.fr/Articles/2021/04/14/seven-countries-launch-international-coalition-export-finance-for-future-e3f-to-align-export-finance-with-climate-objectives" TargetMode="External"/><Relationship Id="rId19" Type="http://schemas.openxmlformats.org/officeDocument/2006/relationships/hyperlink" Target="https://www.bothends.org/uploaded_files/inlineitem/210414_Statement_on_Export_Finance_for_Future_FINAL.pdf" TargetMode="External"/><Relationship Id="rId14" Type="http://schemas.openxmlformats.org/officeDocument/2006/relationships/footer" Target="footer2.xml"/><Relationship Id="rId22" Type="http://schemas.openxmlformats.org/officeDocument/2006/relationships/hyperlink" Target="https://atradiusdutchstatebusiness.nl/en/documents/44.105.01.e-information-disclosure-policy.pdf" TargetMode="External"/><Relationship Id="rId27" Type="http://schemas.openxmlformats.org/officeDocument/2006/relationships/hyperlink" Target="https://atradiusdutchstatebusiness.nl/en/article/environmental-and-social-review.html" TargetMode="External"/><Relationship Id="rId30" Type="http://schemas.openxmlformats.org/officeDocument/2006/relationships/hyperlink" Target="https://bublob.blob.core.windows.net/assets/Images/Berne%20Union%20Export%20Credit%20Insurance%20in%202020.pdf" TargetMode="External"/><Relationship Id="rId35" Type="http://schemas.openxmlformats.org/officeDocument/2006/relationships/hyperlink" Target="http://www.brightblue.org.uk/toward-green-export-finance/" TargetMode="External"/><Relationship Id="rId43" Type="http://schemas.openxmlformats.org/officeDocument/2006/relationships/hyperlink" Target="https://trade.ec.europa.eu/doclib/press/index.cfm?id=2214" TargetMode="External"/><Relationship Id="rId48" Type="http://schemas.openxmlformats.org/officeDocument/2006/relationships/hyperlink" Target="https://www.rijksoverheid.nl/binaries/rijksoverheid/documenten/kamerstukken/2020/10/02/monitor-exportkredietverzekeringen-2019/monitor-exportkredietverzekeringen-2019.pdf" TargetMode="External"/><Relationship Id="rId56" Type="http://schemas.openxmlformats.org/officeDocument/2006/relationships/hyperlink" Target="https://milieudefensie.nl/actueel/een-exportkredietverzekering-in-lijn-met-parijs.pdf/@@download/file/210215_Een%20exportkredietverzekering%20in%20lijn%20met%20Parijs.pdf" TargetMode="External"/><Relationship Id="rId64" Type="http://schemas.openxmlformats.org/officeDocument/2006/relationships/hyperlink" Target="https://www.oecd.org/trade/topics/export-credits/" TargetMode="External"/><Relationship Id="rId69" Type="http://schemas.openxmlformats.org/officeDocument/2006/relationships/hyperlink" Target="https://assets.bbhub.io/company/sites/60/2020/10/FINAL-2017-TCFD-Report-11052018.pdf" TargetMode="External"/><Relationship Id="rId77"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s://www.rijksoverheid.nl/binaries/rijksoverheid/documenten/kamerstukken/2021/07/09/bijlage-meetmethodiek-fossiel/bijlage-meetmethodiek-fossiel.pdf" TargetMode="External"/><Relationship Id="rId72" Type="http://schemas.openxmlformats.org/officeDocument/2006/relationships/hyperlink" Target="https://unfccc.int/sites/default/files/english_paris_agreement.pdf"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s://www.perspectives.cc/public/fileadmin/Publications/21-07-06_Paris_Alignment_of_ECAs.pdf" TargetMode="External"/><Relationship Id="rId25" Type="http://schemas.openxmlformats.org/officeDocument/2006/relationships/hyperlink" Target="https://atradiusdutchstatebusiness.nl/en/documents/the_green_label_eng.pdf" TargetMode="External"/><Relationship Id="rId33" Type="http://schemas.openxmlformats.org/officeDocument/2006/relationships/hyperlink" Target="https://www.bothends.org/uploaded_files/inlineitem/210414_Statement_on_Export_Finance_for_Future_FINAL.pdf" TargetMode="External"/><Relationship Id="rId38" Type="http://schemas.openxmlformats.org/officeDocument/2006/relationships/hyperlink" Target="https://static1.squarespace.com/static/5bc5b31a7788975c96763ea7/t/60b75a72af17a60e035fd4d6/1622628980614/CICERO_SHadesofGreen_factsheet_v5.pdf" TargetMode="External"/><Relationship Id="rId46" Type="http://schemas.openxmlformats.org/officeDocument/2006/relationships/hyperlink" Target="https://www.government.nl/documents/speeches/2014/03/24/press-announcement-by-rutte-in-rijksmuseum-amsterdam" TargetMode="External"/><Relationship Id="rId59" Type="http://schemas.openxmlformats.org/officeDocument/2006/relationships/hyperlink" Target="https://www.rijksoverheid.nl/binaries/rijksoverheid/documenten/kamerstukken/2021/05/11/1verkenning-ekv-in-lijn-brengen-met-de-overeenkomst-van-parijs/1verkenning-ekv-in-lijn-brengen-met-de-overeenkomst-van-parijs.pdf" TargetMode="External"/><Relationship Id="rId67" Type="http://schemas.openxmlformats.org/officeDocument/2006/relationships/hyperlink" Target="https://www.gov.uk/government/news/pm-announces-the-uk-will-end-support-for-fossil-fuel-sector-overseas" TargetMode="External"/><Relationship Id="rId20" Type="http://schemas.openxmlformats.org/officeDocument/2006/relationships/hyperlink" Target="https://www.advisorycouncilinternationalaffairs.nl/binaries/advisorycouncilinternationalaffairs/documents/publications/2019/07/05/international-climate-policy/International_Climate_Policy_AIV-Advisory-letter-33_ENG_201907.pdf" TargetMode="External"/><Relationship Id="rId41" Type="http://schemas.openxmlformats.org/officeDocument/2006/relationships/hyperlink" Target="http://priceofoil.org/content/uploads/2020/05/G20-Still-Digging.pdf" TargetMode="External"/><Relationship Id="rId54" Type="http://schemas.openxmlformats.org/officeDocument/2006/relationships/hyperlink" Target="https://en.milieudefensie.nl/news/a-just-energy-transition-for-africa.pdf/@@download/file/A%20Just%20Transition%20for%20Africa%20DEF%20(1).pdf" TargetMode="External"/><Relationship Id="rId62" Type="http://schemas.openxmlformats.org/officeDocument/2006/relationships/hyperlink" Target="https://www.nrdc.org/experts/sheryl-carter/gas-leaks-and-its-worse-we-thought" TargetMode="External"/><Relationship Id="rId70" Type="http://schemas.openxmlformats.org/officeDocument/2006/relationships/hyperlink" Target="https://ec.europa.eu/info/sites/default/files/business_economy_euro/banking_and_finance/documents/200309-sustainable-finance-teg-final-report-taxonomy-annexes_en.pdf" TargetMode="External"/><Relationship Id="rId75" Type="http://schemas.openxmlformats.org/officeDocument/2006/relationships/hyperlink" Target="https://data.worldbank.org/indicator/NE.EXP.GNFS.CD?most_recent_value_desc=tru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atradiusdutchstatebusiness.nl/en/documents/2017_sustainability_report.pdf" TargetMode="External"/><Relationship Id="rId28" Type="http://schemas.openxmlformats.org/officeDocument/2006/relationships/hyperlink" Target="https://www.un.org/sites/un2.un.org/files/100_billion_climate_finance_report.pdf" TargetMode="External"/><Relationship Id="rId36" Type="http://schemas.openxmlformats.org/officeDocument/2006/relationships/hyperlink" Target="https://carbon-pulse.com/139185/" TargetMode="External"/><Relationship Id="rId49" Type="http://schemas.openxmlformats.org/officeDocument/2006/relationships/hyperlink" Target="https://www.government.nl/topics/enterprise-and-innovation/excport-credit-insurances-eci" TargetMode="External"/><Relationship Id="rId57" Type="http://schemas.openxmlformats.org/officeDocument/2006/relationships/hyperlink" Target="https://unfccc.int/sites/default/files/resource/NLD%204th%20Biennial%20Report%20Final%20version%2018dec19.pdf" TargetMode="External"/><Relationship Id="rId10" Type="http://schemas.openxmlformats.org/officeDocument/2006/relationships/image" Target="media/image2.png"/><Relationship Id="rId31" Type="http://schemas.openxmlformats.org/officeDocument/2006/relationships/hyperlink" Target="https://www.bothends.org/uploaded_files/document/1Paris_Proof_Export_Support_June_2017.pdf" TargetMode="External"/><Relationship Id="rId44" Type="http://schemas.openxmlformats.org/officeDocument/2006/relationships/hyperlink" Target="https://www.ekn.se/globalassets/dokument/rapporter/ovriga-rapporter/summary-an-export-finance-system-that-contributes-to-the-climate-transition.pdf/" TargetMode="External"/><Relationship Id="rId52" Type="http://schemas.openxmlformats.org/officeDocument/2006/relationships/hyperlink" Target="https://gsh.cib.natixis.com/our-center-of-expertise/articles/france-s-strategy-on-export-financing-a-stick-and-carrot-approach-with-fossil-fuels-funding-phasing-out-and-a-supporting-factor-for-eu-taxonomy-compliant-activities" TargetMode="External"/><Relationship Id="rId60" Type="http://schemas.openxmlformats.org/officeDocument/2006/relationships/hyperlink" Target="https://atradiusdutchstatebusiness.nl/en/documents/brief-over-samenwerking-atradius-dutch-state-business-en-staat-%28en%29.pdf" TargetMode="External"/><Relationship Id="rId65" Type="http://schemas.openxmlformats.org/officeDocument/2006/relationships/hyperlink" Target="https://carbonaccountingfinancials.com/files/downloads/PCAF-Global-GHG-Standard.pdf" TargetMode="External"/><Relationship Id="rId73" Type="http://schemas.openxmlformats.org/officeDocument/2006/relationships/hyperlink" Target="https://www.berneunion.org/Articles/Details/600/Greening-Dutch-export-finance-From-policy-to-business-case"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4.png"/><Relationship Id="rId39" Type="http://schemas.openxmlformats.org/officeDocument/2006/relationships/hyperlink" Target="https://clubdeparis.org/en/communications/page/definition-of-debt-treated" TargetMode="External"/><Relationship Id="rId34" Type="http://schemas.openxmlformats.org/officeDocument/2006/relationships/hyperlink" Target="https://www.bothends.org/en/Whats-new/Press/Despite-violence-900-million-euros-in-Dutch-export-support-to-Van-Oord-in-Mozambique/" TargetMode="External"/><Relationship Id="rId50" Type="http://schemas.openxmlformats.org/officeDocument/2006/relationships/hyperlink" Target="https://www.rijksoverheid.nl/binaries/rijksoverheid/documenten/kamerstukken/2021/07/09/monitor-exportkredietverzekeringen-2020/monitor-2020-exportkredietverzekeringen.pdf" TargetMode="External"/><Relationship Id="rId55" Type="http://schemas.openxmlformats.org/officeDocument/2006/relationships/hyperlink" Target="https://milieudefensie.nl/actueel/reactie-verkenning-milieudefensie-both-ends-oil-change-international.pdf" TargetMode="External"/><Relationship Id="rId76"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https://www.gov.uk/government/publications/task-force-on-climate-related-financial-disclosures-uk-export-finance-direction-statement/task-force-on-climate-related-financial-disclosures-uk-export-finance-direction-statement" TargetMode="External"/><Relationship Id="rId2" Type="http://schemas.openxmlformats.org/officeDocument/2006/relationships/customXml" Target="../customXml/item2.xml"/><Relationship Id="rId29" Type="http://schemas.openxmlformats.org/officeDocument/2006/relationships/hyperlink" Target="https://www.bpifrance.fr/download/media-file/4198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nfd.info/" TargetMode="External"/><Relationship Id="rId1" Type="http://schemas.openxmlformats.org/officeDocument/2006/relationships/hyperlink" Target="https://www.unepfi.org/net-zero-insuran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8145997D0F463E8F776BA2F4284C69"/>
        <w:category>
          <w:name w:val="General"/>
          <w:gallery w:val="placeholder"/>
        </w:category>
        <w:types>
          <w:type w:val="bbPlcHdr"/>
        </w:types>
        <w:behaviors>
          <w:behavior w:val="content"/>
        </w:behaviors>
        <w:guid w:val="{F01F7ACE-3C8C-41D1-913C-C97EEB9D97C4}"/>
      </w:docPartPr>
      <w:docPartBody>
        <w:p w:rsidR="00E8518D" w:rsidRDefault="00A329D1">
          <w:r w:rsidRPr="000E725C">
            <w:rPr>
              <w:rStyle w:val="Platzhalt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Goth BT">
    <w:altName w:val="Trebuchet MS"/>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29D1"/>
    <w:rsid w:val="000202C3"/>
    <w:rsid w:val="00047BFC"/>
    <w:rsid w:val="00071763"/>
    <w:rsid w:val="00075676"/>
    <w:rsid w:val="000A6FC3"/>
    <w:rsid w:val="000B027E"/>
    <w:rsid w:val="000B6267"/>
    <w:rsid w:val="000C1E05"/>
    <w:rsid w:val="000C3BCB"/>
    <w:rsid w:val="000D41A7"/>
    <w:rsid w:val="000E0602"/>
    <w:rsid w:val="0010222A"/>
    <w:rsid w:val="001022F3"/>
    <w:rsid w:val="00124129"/>
    <w:rsid w:val="0016492B"/>
    <w:rsid w:val="001A71FD"/>
    <w:rsid w:val="001C1013"/>
    <w:rsid w:val="001F568B"/>
    <w:rsid w:val="001F6DC2"/>
    <w:rsid w:val="00210290"/>
    <w:rsid w:val="002124BD"/>
    <w:rsid w:val="0021282F"/>
    <w:rsid w:val="00241A50"/>
    <w:rsid w:val="00244548"/>
    <w:rsid w:val="002509AF"/>
    <w:rsid w:val="002677C7"/>
    <w:rsid w:val="0027369B"/>
    <w:rsid w:val="00273C06"/>
    <w:rsid w:val="002744C5"/>
    <w:rsid w:val="002B524B"/>
    <w:rsid w:val="002D48DE"/>
    <w:rsid w:val="002D7413"/>
    <w:rsid w:val="002F309D"/>
    <w:rsid w:val="0030625A"/>
    <w:rsid w:val="00306A98"/>
    <w:rsid w:val="00314AC3"/>
    <w:rsid w:val="00315015"/>
    <w:rsid w:val="003168AE"/>
    <w:rsid w:val="00324FB3"/>
    <w:rsid w:val="00335329"/>
    <w:rsid w:val="00337C57"/>
    <w:rsid w:val="00354A0D"/>
    <w:rsid w:val="003930CD"/>
    <w:rsid w:val="003A6FE7"/>
    <w:rsid w:val="003A7E92"/>
    <w:rsid w:val="003B7093"/>
    <w:rsid w:val="003D0BF2"/>
    <w:rsid w:val="004138F0"/>
    <w:rsid w:val="004243CA"/>
    <w:rsid w:val="004279EC"/>
    <w:rsid w:val="00445D85"/>
    <w:rsid w:val="00460217"/>
    <w:rsid w:val="0047324A"/>
    <w:rsid w:val="00473271"/>
    <w:rsid w:val="004B0E82"/>
    <w:rsid w:val="004B16B5"/>
    <w:rsid w:val="004B17B9"/>
    <w:rsid w:val="004B3753"/>
    <w:rsid w:val="004B6AEE"/>
    <w:rsid w:val="004C7ED7"/>
    <w:rsid w:val="004E692C"/>
    <w:rsid w:val="00504CFB"/>
    <w:rsid w:val="00506CA4"/>
    <w:rsid w:val="00514D3E"/>
    <w:rsid w:val="00551603"/>
    <w:rsid w:val="0055580B"/>
    <w:rsid w:val="00577B18"/>
    <w:rsid w:val="005858A5"/>
    <w:rsid w:val="0059049C"/>
    <w:rsid w:val="005C6DCA"/>
    <w:rsid w:val="005D1C55"/>
    <w:rsid w:val="00602F1F"/>
    <w:rsid w:val="006234AA"/>
    <w:rsid w:val="00634EFC"/>
    <w:rsid w:val="00646760"/>
    <w:rsid w:val="006469E8"/>
    <w:rsid w:val="00653C1A"/>
    <w:rsid w:val="00654561"/>
    <w:rsid w:val="00682534"/>
    <w:rsid w:val="0069732D"/>
    <w:rsid w:val="006C03C0"/>
    <w:rsid w:val="006E5EDC"/>
    <w:rsid w:val="006E7628"/>
    <w:rsid w:val="006F5A92"/>
    <w:rsid w:val="00715F40"/>
    <w:rsid w:val="00725812"/>
    <w:rsid w:val="00735D02"/>
    <w:rsid w:val="00741C18"/>
    <w:rsid w:val="00753A9E"/>
    <w:rsid w:val="007666CB"/>
    <w:rsid w:val="007742B9"/>
    <w:rsid w:val="007861C7"/>
    <w:rsid w:val="007905F8"/>
    <w:rsid w:val="00794B42"/>
    <w:rsid w:val="007A2805"/>
    <w:rsid w:val="007A52F1"/>
    <w:rsid w:val="007B2C26"/>
    <w:rsid w:val="007D7902"/>
    <w:rsid w:val="007F105A"/>
    <w:rsid w:val="007F1C0C"/>
    <w:rsid w:val="00801CBF"/>
    <w:rsid w:val="00832CDE"/>
    <w:rsid w:val="00837946"/>
    <w:rsid w:val="00840500"/>
    <w:rsid w:val="00847934"/>
    <w:rsid w:val="008534B1"/>
    <w:rsid w:val="00872707"/>
    <w:rsid w:val="00872DEE"/>
    <w:rsid w:val="008770EC"/>
    <w:rsid w:val="00880819"/>
    <w:rsid w:val="008A5E85"/>
    <w:rsid w:val="008C779A"/>
    <w:rsid w:val="008F5418"/>
    <w:rsid w:val="00900390"/>
    <w:rsid w:val="00915291"/>
    <w:rsid w:val="00920031"/>
    <w:rsid w:val="00920046"/>
    <w:rsid w:val="009328F2"/>
    <w:rsid w:val="00945BC4"/>
    <w:rsid w:val="00951103"/>
    <w:rsid w:val="00991809"/>
    <w:rsid w:val="00992F16"/>
    <w:rsid w:val="0099723C"/>
    <w:rsid w:val="009A6930"/>
    <w:rsid w:val="009C0304"/>
    <w:rsid w:val="009C07F3"/>
    <w:rsid w:val="009D2E98"/>
    <w:rsid w:val="009D338D"/>
    <w:rsid w:val="00A024DE"/>
    <w:rsid w:val="00A329D1"/>
    <w:rsid w:val="00A36C25"/>
    <w:rsid w:val="00A3793C"/>
    <w:rsid w:val="00A53D84"/>
    <w:rsid w:val="00A61641"/>
    <w:rsid w:val="00A94325"/>
    <w:rsid w:val="00AA1F9E"/>
    <w:rsid w:val="00AA2E1F"/>
    <w:rsid w:val="00AD71C1"/>
    <w:rsid w:val="00B00F93"/>
    <w:rsid w:val="00B049EE"/>
    <w:rsid w:val="00B15ED8"/>
    <w:rsid w:val="00B17896"/>
    <w:rsid w:val="00B25822"/>
    <w:rsid w:val="00B3594D"/>
    <w:rsid w:val="00B83BFC"/>
    <w:rsid w:val="00B83FB8"/>
    <w:rsid w:val="00B92F80"/>
    <w:rsid w:val="00BA1F4D"/>
    <w:rsid w:val="00BB5440"/>
    <w:rsid w:val="00BC406F"/>
    <w:rsid w:val="00BF4363"/>
    <w:rsid w:val="00BF6F3B"/>
    <w:rsid w:val="00C04435"/>
    <w:rsid w:val="00C140B9"/>
    <w:rsid w:val="00C14E50"/>
    <w:rsid w:val="00C26FB5"/>
    <w:rsid w:val="00C30098"/>
    <w:rsid w:val="00C405CD"/>
    <w:rsid w:val="00C469D9"/>
    <w:rsid w:val="00C614C1"/>
    <w:rsid w:val="00C666FF"/>
    <w:rsid w:val="00C70613"/>
    <w:rsid w:val="00C93D9F"/>
    <w:rsid w:val="00CA3FEA"/>
    <w:rsid w:val="00CC1AAA"/>
    <w:rsid w:val="00CC601B"/>
    <w:rsid w:val="00CD5287"/>
    <w:rsid w:val="00CE2F97"/>
    <w:rsid w:val="00D14E8F"/>
    <w:rsid w:val="00D21A22"/>
    <w:rsid w:val="00D43DD1"/>
    <w:rsid w:val="00D57CAD"/>
    <w:rsid w:val="00D7523D"/>
    <w:rsid w:val="00D77BDD"/>
    <w:rsid w:val="00D80610"/>
    <w:rsid w:val="00D957F0"/>
    <w:rsid w:val="00D97A26"/>
    <w:rsid w:val="00DA0A3E"/>
    <w:rsid w:val="00DA3EDB"/>
    <w:rsid w:val="00DC0D8C"/>
    <w:rsid w:val="00DE5976"/>
    <w:rsid w:val="00DE799D"/>
    <w:rsid w:val="00DF07F9"/>
    <w:rsid w:val="00DF0850"/>
    <w:rsid w:val="00DF6258"/>
    <w:rsid w:val="00E06F76"/>
    <w:rsid w:val="00E46D6D"/>
    <w:rsid w:val="00E5569F"/>
    <w:rsid w:val="00E72DC9"/>
    <w:rsid w:val="00E811AB"/>
    <w:rsid w:val="00E8518D"/>
    <w:rsid w:val="00E93A01"/>
    <w:rsid w:val="00EB37D4"/>
    <w:rsid w:val="00EC3F22"/>
    <w:rsid w:val="00ED17D6"/>
    <w:rsid w:val="00ED55BD"/>
    <w:rsid w:val="00EE1174"/>
    <w:rsid w:val="00EF1944"/>
    <w:rsid w:val="00F044B1"/>
    <w:rsid w:val="00F23756"/>
    <w:rsid w:val="00F24B21"/>
    <w:rsid w:val="00F31B6D"/>
    <w:rsid w:val="00F35935"/>
    <w:rsid w:val="00F36598"/>
    <w:rsid w:val="00FB1709"/>
    <w:rsid w:val="00FB45D8"/>
    <w:rsid w:val="00FE21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4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29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9F6FE2-979B-41C7-80DC-3111670A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15569</Words>
  <Characters>88745</Characters>
  <Application>Microsoft Office Word</Application>
  <DocSecurity>0</DocSecurity>
  <Lines>739</Lines>
  <Paragraphs>208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Paris Alignment of Export Credit Agencies: the case of Euler Hermes (Germany)</vt:lpstr>
      <vt:lpstr>Paris Alignment of Export Credit Agencies: the case of Euler Hermes (Germany)</vt:lpstr>
    </vt:vector>
  </TitlesOfParts>
  <Manager/>
  <Company/>
  <LinksUpToDate>false</LinksUpToDate>
  <CharactersWithSpaces>104106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Alignment of Export Credit Agencies: the case of Euler Hermes (Germany)</dc:title>
  <dc:subject/>
  <dc:creator>Perspectives Climate Research</dc:creator>
  <cp:keywords/>
  <dc:description/>
  <cp:lastModifiedBy>Philipp Censkowsky</cp:lastModifiedBy>
  <cp:revision>3</cp:revision>
  <cp:lastPrinted>2021-06-18T08:26:00Z</cp:lastPrinted>
  <dcterms:created xsi:type="dcterms:W3CDTF">2021-10-11T07:54:00Z</dcterms:created>
  <dcterms:modified xsi:type="dcterms:W3CDTF">2021-10-11T07:54:00Z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d3b34b-2bef-4a54-879f-885ba821ef67_Enabled">
    <vt:lpwstr>true</vt:lpwstr>
  </property>
  <property fmtid="{D5CDD505-2E9C-101B-9397-08002B2CF9AE}" pid="3" name="MSIP_Label_26d3b34b-2bef-4a54-879f-885ba821ef67_SetDate">
    <vt:lpwstr>2021-09-29T15:07:49Z</vt:lpwstr>
  </property>
  <property fmtid="{D5CDD505-2E9C-101B-9397-08002B2CF9AE}" pid="4" name="MSIP_Label_26d3b34b-2bef-4a54-879f-885ba821ef67_Method">
    <vt:lpwstr>Standard</vt:lpwstr>
  </property>
  <property fmtid="{D5CDD505-2E9C-101B-9397-08002B2CF9AE}" pid="5" name="MSIP_Label_26d3b34b-2bef-4a54-879f-885ba821ef67_Name">
    <vt:lpwstr>Departement (DGGT)</vt:lpwstr>
  </property>
  <property fmtid="{D5CDD505-2E9C-101B-9397-08002B2CF9AE}" pid="6" name="MSIP_Label_26d3b34b-2bef-4a54-879f-885ba821ef67_SiteId">
    <vt:lpwstr>84712536-f524-40a0-913b-5d25ba502732</vt:lpwstr>
  </property>
  <property fmtid="{D5CDD505-2E9C-101B-9397-08002B2CF9AE}" pid="7" name="MSIP_Label_26d3b34b-2bef-4a54-879f-885ba821ef67_ActionId">
    <vt:lpwstr>a18783c4-485f-4e6d-ba75-0e97ec6bf3cc</vt:lpwstr>
  </property>
  <property fmtid="{D5CDD505-2E9C-101B-9397-08002B2CF9AE}" pid="8" name="MSIP_Label_26d3b34b-2bef-4a54-879f-885ba821ef67_ContentBits">
    <vt:lpwstr>0</vt:lpwstr>
  </property>
</Properties>
</file>